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E162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2C369F">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B653590">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5C8BA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BF239C">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1249DD52">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EA2EE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2A3BFBB">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5104</w:t>
            </w:r>
            <w:r>
              <w:fldChar w:fldCharType="end"/>
            </w:r>
            <w:bookmarkEnd w:id="3"/>
          </w:p>
        </w:tc>
      </w:tr>
    </w:tbl>
    <w:p w14:paraId="42B7AD63">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四川省（攀枝花市）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7CD4E07">
      <w:pPr>
        <w:pStyle w:val="198"/>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5104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2026</w:t>
      </w:r>
      <w:r>
        <w:fldChar w:fldCharType="end"/>
      </w:r>
      <w:bookmarkEnd w:id="7"/>
    </w:p>
    <w:p w14:paraId="48C95C63">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5202950">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1BBCD567">
      <w:pPr>
        <w:pStyle w:val="53"/>
        <w:framePr w:w="9639" w:h="6976" w:hRule="exact" w:hSpace="0" w:vSpace="0" w:wrap="around" w:hAnchor="page" w:y="6408"/>
        <w:jc w:val="center"/>
        <w:rPr>
          <w:rFonts w:ascii="黑体" w:hAnsi="黑体" w:eastAsia="黑体"/>
          <w:b w:val="0"/>
          <w:bCs w:val="0"/>
          <w:w w:val="100"/>
        </w:rPr>
      </w:pPr>
    </w:p>
    <w:p w14:paraId="5F0F5E22">
      <w:pPr>
        <w:pStyle w:val="200"/>
        <w:framePr w:h="6974" w:hRule="exact" w:wrap="around" w:x="1419" w:anchorLock="1"/>
        <w:jc w:val="both"/>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val="en-US" w:eastAsia="zh-CN"/>
        </w:rPr>
        <w:t xml:space="preserve"> </w:t>
      </w:r>
      <w:r>
        <w:rPr>
          <w:rFonts w:hint="eastAsia"/>
          <w:lang w:eastAsia="zh-CN"/>
        </w:rPr>
        <w:t>果树高接换种技术</w:t>
      </w:r>
      <w:r>
        <w:t>规程</w:t>
      </w:r>
      <w:r>
        <w:rPr>
          <w:rFonts w:hint="eastAsia"/>
          <w:lang w:val="en-US" w:eastAsia="zh-CN"/>
        </w:rPr>
        <w:t xml:space="preserve"> 第1部分：石榴</w:t>
      </w:r>
      <w:r>
        <w:fldChar w:fldCharType="end"/>
      </w:r>
      <w:bookmarkEnd w:id="9"/>
    </w:p>
    <w:p w14:paraId="4E1C0A8E">
      <w:pPr>
        <w:framePr w:w="9639" w:h="6974" w:hRule="exact" w:wrap="around" w:vAnchor="page" w:hAnchor="page" w:x="1419" w:y="6408" w:anchorLock="1"/>
        <w:ind w:left="-1418"/>
      </w:pPr>
    </w:p>
    <w:p w14:paraId="710F7225">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52E7CF52">
      <w:pPr>
        <w:framePr w:w="9639" w:h="6974" w:hRule="exact" w:wrap="around" w:vAnchor="page" w:hAnchor="page" w:x="1419" w:y="6408" w:anchorLock="1"/>
        <w:spacing w:line="760" w:lineRule="exact"/>
        <w:ind w:left="-1418"/>
      </w:pPr>
    </w:p>
    <w:p w14:paraId="1CAC3C72">
      <w:pPr>
        <w:pStyle w:val="128"/>
        <w:framePr w:w="9639" w:h="6974" w:hRule="exact" w:wrap="around" w:vAnchor="page" w:hAnchor="page" w:x="1419" w:y="6408" w:anchorLock="1"/>
        <w:textAlignment w:val="bottom"/>
        <w:rPr>
          <w:rFonts w:eastAsia="黑体"/>
          <w:szCs w:val="28"/>
        </w:rPr>
      </w:pPr>
    </w:p>
    <w:p w14:paraId="67475D60">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39F216">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7AE0EFD">
      <w:pPr>
        <w:pStyle w:val="128"/>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7037A1E">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BE9245F">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DA472A9">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攀枝花市市场监督管理局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6D7EB0E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1ECAE947">
      <w:pPr>
        <w:pStyle w:val="92"/>
        <w:spacing w:before="900" w:after="468"/>
      </w:pPr>
      <w:bookmarkStart w:id="21" w:name="BookMark2"/>
      <w:r>
        <w:rPr>
          <w:spacing w:val="320"/>
        </w:rPr>
        <w:t>前</w:t>
      </w:r>
      <w:r>
        <w:t>言</w:t>
      </w:r>
    </w:p>
    <w:p w14:paraId="1024BA77">
      <w:pPr>
        <w:pStyle w:val="59"/>
        <w:ind w:firstLine="420"/>
      </w:pPr>
      <w:r>
        <w:rPr>
          <w:rFonts w:hint="eastAsia"/>
        </w:rPr>
        <w:t>本文件按照GB/T 1.1—2020《标准化工作导则  第1部分：标准化文件的结构和起草规则》的规定起草。</w:t>
      </w:r>
    </w:p>
    <w:p w14:paraId="37B77CF2">
      <w:pPr>
        <w:pStyle w:val="59"/>
        <w:ind w:firstLine="420"/>
      </w:pPr>
      <w:r>
        <w:rPr>
          <w:rFonts w:hint="eastAsia"/>
        </w:rPr>
        <w:t>请注意本文件的某些内容可能涉及专利。本文件的发布机构不承担识别专利的责任。</w:t>
      </w:r>
    </w:p>
    <w:p w14:paraId="32AADA4A">
      <w:pPr>
        <w:pStyle w:val="59"/>
        <w:ind w:firstLine="420"/>
      </w:pPr>
      <w:bookmarkStart w:id="22" w:name="OLE_LINK3"/>
      <w:bookmarkStart w:id="23" w:name="OLE_LINK4"/>
      <w:r>
        <w:rPr>
          <w:rFonts w:hint="eastAsia"/>
        </w:rPr>
        <w:t>本文件由</w:t>
      </w:r>
      <w:bookmarkStart w:id="24" w:name="OLE_LINK6"/>
      <w:bookmarkStart w:id="25" w:name="OLE_LINK5"/>
      <w:r>
        <w:rPr>
          <w:rFonts w:hint="eastAsia" w:hAnsi="宋体"/>
          <w:szCs w:val="21"/>
        </w:rPr>
        <w:t>攀枝花市</w:t>
      </w:r>
      <w:bookmarkEnd w:id="22"/>
      <w:bookmarkEnd w:id="23"/>
      <w:r>
        <w:rPr>
          <w:rFonts w:hint="eastAsia" w:hAnsi="宋体"/>
          <w:szCs w:val="21"/>
        </w:rPr>
        <w:t>农林科学研究院</w:t>
      </w:r>
      <w:bookmarkEnd w:id="24"/>
      <w:bookmarkEnd w:id="25"/>
      <w:r>
        <w:rPr>
          <w:rFonts w:hint="eastAsia"/>
        </w:rPr>
        <w:t>提出</w:t>
      </w:r>
    </w:p>
    <w:p w14:paraId="1EEDD578">
      <w:pPr>
        <w:pStyle w:val="59"/>
        <w:ind w:firstLine="420"/>
      </w:pPr>
      <w:r>
        <w:rPr>
          <w:rFonts w:hint="eastAsia"/>
        </w:rPr>
        <w:t>本文件由</w:t>
      </w:r>
      <w:r>
        <w:rPr>
          <w:rFonts w:hint="eastAsia" w:hAnsi="宋体"/>
          <w:szCs w:val="21"/>
        </w:rPr>
        <w:t>攀枝花市农业农村局</w:t>
      </w:r>
      <w:r>
        <w:rPr>
          <w:rFonts w:hint="eastAsia"/>
        </w:rPr>
        <w:t>归口。</w:t>
      </w:r>
    </w:p>
    <w:p w14:paraId="42999607">
      <w:pPr>
        <w:pStyle w:val="59"/>
        <w:ind w:firstLine="420"/>
      </w:pPr>
      <w:r>
        <w:rPr>
          <w:rFonts w:hint="eastAsia"/>
        </w:rPr>
        <w:t>本文件起草单位：</w:t>
      </w:r>
      <w:r>
        <w:rPr>
          <w:rFonts w:hint="eastAsia" w:hAnsi="宋体"/>
          <w:szCs w:val="21"/>
        </w:rPr>
        <w:t>攀枝花市农林科学研究院</w:t>
      </w:r>
      <w:r>
        <w:rPr>
          <w:rFonts w:hint="eastAsia"/>
        </w:rPr>
        <w:t>。</w:t>
      </w:r>
    </w:p>
    <w:p w14:paraId="526B96A5">
      <w:pPr>
        <w:pStyle w:val="59"/>
        <w:ind w:firstLine="420"/>
      </w:pPr>
      <w:r>
        <w:rPr>
          <w:rFonts w:hint="eastAsia"/>
        </w:rPr>
        <w:t>本文件主要起草人：</w:t>
      </w:r>
      <w:r>
        <w:rPr>
          <w:rFonts w:hint="eastAsia" w:eastAsiaTheme="majorEastAsia" w:cstheme="majorEastAsia"/>
          <w:color w:val="000000" w:themeColor="text1"/>
          <w:szCs w:val="21"/>
          <w:lang w:eastAsia="zh-CN"/>
        </w:rPr>
        <w:t>刘斌、黄云、李所清、朱太富、张森、祝毅娟、唐莉静、刘彦彬</w:t>
      </w:r>
      <w:r>
        <w:rPr>
          <w:rFonts w:hint="eastAsia"/>
        </w:rPr>
        <w:t>。</w:t>
      </w:r>
    </w:p>
    <w:p w14:paraId="663D824C">
      <w:pPr>
        <w:pStyle w:val="59"/>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109DF007">
      <w:pPr>
        <w:spacing w:line="20" w:lineRule="exact"/>
        <w:jc w:val="center"/>
        <w:rPr>
          <w:rFonts w:ascii="黑体" w:hAnsi="黑体" w:eastAsia="黑体"/>
          <w:sz w:val="32"/>
          <w:szCs w:val="32"/>
        </w:rPr>
      </w:pPr>
      <w:bookmarkStart w:id="26" w:name="BookMark4"/>
    </w:p>
    <w:p w14:paraId="33231CC3">
      <w:pPr>
        <w:spacing w:line="20" w:lineRule="exact"/>
        <w:jc w:val="center"/>
        <w:rPr>
          <w:rFonts w:ascii="黑体" w:hAnsi="黑体" w:eastAsia="黑体"/>
          <w:sz w:val="32"/>
          <w:szCs w:val="32"/>
        </w:rPr>
      </w:pPr>
    </w:p>
    <w:sdt>
      <w:sdtPr>
        <w:tag w:val="NEW_STAND_NAME"/>
        <w:id w:val="595910757"/>
        <w:lock w:val="sdtLocked"/>
        <w:placeholder>
          <w:docPart w:val="825E65F3B1F140B08A376520658E9AB0"/>
        </w:placeholder>
      </w:sdtPr>
      <w:sdtContent>
        <w:p w14:paraId="589562EE">
          <w:pPr>
            <w:pStyle w:val="180"/>
            <w:spacing w:beforeLines="1" w:afterLines="220"/>
          </w:pPr>
          <w:bookmarkStart w:id="27" w:name="NEW_STAND_NAME"/>
          <w:r>
            <w:rPr>
              <w:rFonts w:hint="eastAsia"/>
              <w:lang w:eastAsia="zh-CN"/>
            </w:rPr>
            <w:t>果树高接换种技术</w:t>
          </w:r>
          <w:r>
            <w:t>规程</w:t>
          </w:r>
          <w:r>
            <w:rPr>
              <w:rFonts w:hint="eastAsia"/>
              <w:lang w:val="en-US" w:eastAsia="zh-CN"/>
            </w:rPr>
            <w:t xml:space="preserve"> 第1部分：石榴</w:t>
          </w:r>
        </w:p>
      </w:sdtContent>
    </w:sdt>
    <w:bookmarkEnd w:id="27"/>
    <w:p w14:paraId="4F53D623">
      <w:pPr>
        <w:pStyle w:val="107"/>
        <w:spacing w:before="312" w:after="312"/>
      </w:pPr>
      <w:bookmarkStart w:id="28" w:name="_Toc17233325"/>
      <w:bookmarkStart w:id="29" w:name="_Toc26648465"/>
      <w:bookmarkStart w:id="30" w:name="_Toc26986530"/>
      <w:bookmarkStart w:id="31" w:name="_Toc97191423"/>
      <w:bookmarkStart w:id="32" w:name="_Toc26718930"/>
      <w:bookmarkStart w:id="33" w:name="_Toc24884211"/>
      <w:bookmarkStart w:id="34" w:name="_Toc26986771"/>
      <w:bookmarkStart w:id="35" w:name="_Toc17233333"/>
      <w:bookmarkStart w:id="36" w:name="_Toc24884218"/>
      <w:r>
        <w:rPr>
          <w:rFonts w:hint="eastAsia"/>
        </w:rPr>
        <w:t>范围</w:t>
      </w:r>
      <w:bookmarkEnd w:id="28"/>
      <w:bookmarkEnd w:id="29"/>
      <w:bookmarkEnd w:id="30"/>
      <w:bookmarkEnd w:id="31"/>
      <w:bookmarkEnd w:id="32"/>
      <w:bookmarkEnd w:id="33"/>
      <w:bookmarkEnd w:id="34"/>
      <w:bookmarkEnd w:id="35"/>
      <w:bookmarkEnd w:id="36"/>
    </w:p>
    <w:p w14:paraId="6D010A18">
      <w:pPr>
        <w:pStyle w:val="59"/>
        <w:ind w:firstLine="420"/>
      </w:pPr>
      <w:bookmarkStart w:id="37" w:name="_Toc17233326"/>
      <w:bookmarkStart w:id="38" w:name="_Toc17233334"/>
      <w:bookmarkStart w:id="39" w:name="_Toc26648466"/>
      <w:bookmarkStart w:id="40" w:name="_Toc24884219"/>
      <w:bookmarkStart w:id="41" w:name="_Toc24884212"/>
      <w:r>
        <w:rPr>
          <w:rFonts w:hint="eastAsia"/>
        </w:rPr>
        <w:t>本文件确立了</w:t>
      </w:r>
      <w:r>
        <w:rPr>
          <w:rFonts w:hint="eastAsia"/>
          <w:lang w:eastAsia="zh-CN"/>
        </w:rPr>
        <w:t>石榴</w:t>
      </w:r>
      <w:r>
        <w:rPr>
          <w:rFonts w:hint="default"/>
        </w:rPr>
        <w:t>高接换种技术</w:t>
      </w:r>
      <w:r>
        <w:rPr>
          <w:rFonts w:hint="eastAsia"/>
          <w:lang w:eastAsia="zh-CN"/>
        </w:rPr>
        <w:t>的</w:t>
      </w:r>
      <w:r>
        <w:rPr>
          <w:rFonts w:hint="eastAsia"/>
        </w:rPr>
        <w:t>操作程序，规定了</w:t>
      </w:r>
      <w:r>
        <w:rPr>
          <w:rFonts w:hint="eastAsia"/>
          <w:lang w:eastAsia="zh-CN"/>
        </w:rPr>
        <w:t>高接换种</w:t>
      </w:r>
      <w:r>
        <w:rPr>
          <w:rFonts w:hint="eastAsia"/>
        </w:rPr>
        <w:t>果园</w:t>
      </w:r>
      <w:r>
        <w:rPr>
          <w:rFonts w:hint="eastAsia"/>
          <w:lang w:eastAsia="zh-CN"/>
        </w:rPr>
        <w:t>确定</w:t>
      </w:r>
      <w:r>
        <w:rPr>
          <w:rFonts w:hint="eastAsia"/>
        </w:rPr>
        <w:t>、</w:t>
      </w:r>
      <w:r>
        <w:rPr>
          <w:rFonts w:hint="eastAsia"/>
          <w:lang w:eastAsia="zh-CN"/>
        </w:rPr>
        <w:t>高换品种</w:t>
      </w:r>
      <w:r>
        <w:rPr>
          <w:rFonts w:hint="eastAsia"/>
        </w:rPr>
        <w:t>选择、接穗的采集与贮藏、嫁接时期、砧木处理、嫁接方法及步骤、高接后的管理及病虫害防治等技术的操作指示，描述了的</w:t>
      </w:r>
      <w:r>
        <w:rPr>
          <w:rFonts w:hint="default"/>
        </w:rPr>
        <w:t>果树高接换种技术</w:t>
      </w:r>
      <w:r>
        <w:rPr>
          <w:rFonts w:hint="eastAsia"/>
        </w:rPr>
        <w:t>过程记录、标记、试验方法等追溯方法。</w:t>
      </w:r>
    </w:p>
    <w:p w14:paraId="44862DD9">
      <w:pPr>
        <w:pStyle w:val="59"/>
        <w:ind w:firstLine="420"/>
      </w:pPr>
      <w:r>
        <w:rPr>
          <w:rFonts w:hint="eastAsia"/>
        </w:rPr>
        <w:t>本文件适用于攀枝花地区</w:t>
      </w:r>
      <w:r>
        <w:rPr>
          <w:rFonts w:hint="eastAsia"/>
          <w:lang w:eastAsia="zh-CN"/>
        </w:rPr>
        <w:t>石榴高接换种</w:t>
      </w:r>
      <w:r>
        <w:rPr>
          <w:rFonts w:hint="eastAsia"/>
        </w:rPr>
        <w:t>。</w:t>
      </w:r>
    </w:p>
    <w:p w14:paraId="0B2EB138">
      <w:pPr>
        <w:pStyle w:val="107"/>
        <w:spacing w:before="312" w:after="312"/>
      </w:pPr>
      <w:bookmarkStart w:id="42" w:name="_Toc26986531"/>
      <w:bookmarkStart w:id="43" w:name="_Toc97191424"/>
      <w:bookmarkStart w:id="44" w:name="_Toc26986772"/>
      <w:bookmarkStart w:id="45" w:name="_Toc26718931"/>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A9CACF3B45394DC8BC946805C9403B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00A1E88">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4271BB">
      <w:pPr>
        <w:pStyle w:val="59"/>
        <w:ind w:firstLine="420"/>
      </w:pPr>
      <w:bookmarkStart w:id="46" w:name="OLE_LINK18"/>
      <w:bookmarkStart w:id="47" w:name="OLE_LINK17"/>
      <w:r>
        <w:rPr>
          <w:rFonts w:hint="eastAsia"/>
        </w:rPr>
        <w:t>GB 5084  农田灌溉水质标准</w:t>
      </w:r>
    </w:p>
    <w:p w14:paraId="5DB77FA9">
      <w:pPr>
        <w:pStyle w:val="59"/>
        <w:ind w:firstLine="420"/>
        <w:rPr>
          <w:rFonts w:hint="eastAsia"/>
          <w:lang w:val="en-US" w:eastAsia="zh-CN"/>
        </w:rPr>
      </w:pPr>
      <w:r>
        <w:rPr>
          <w:rFonts w:hint="eastAsia" w:ascii="宋体" w:hAnsi="Times New Roman" w:eastAsia="宋体" w:cs="Times New Roman"/>
          <w:sz w:val="21"/>
          <w:lang w:val="en-US" w:eastAsia="zh-CN" w:bidi="ar-SA"/>
        </w:rPr>
        <w:t>GB/T 32746-2016</w:t>
      </w:r>
      <w:r>
        <w:rPr>
          <w:rFonts w:hint="eastAsia" w:cs="Times New Roman"/>
          <w:sz w:val="21"/>
          <w:lang w:val="en-US" w:eastAsia="zh-CN" w:bidi="ar-SA"/>
        </w:rPr>
        <w:t xml:space="preserve">  </w:t>
      </w:r>
      <w:r>
        <w:t>果树嫁接技术规程</w:t>
      </w:r>
    </w:p>
    <w:p w14:paraId="46DD74A8">
      <w:pPr>
        <w:pStyle w:val="59"/>
        <w:ind w:firstLine="420"/>
        <w:rPr>
          <w:color w:val="000000"/>
        </w:rPr>
      </w:pPr>
      <w:r>
        <w:rPr>
          <w:rFonts w:hint="eastAsia"/>
          <w:color w:val="000000"/>
        </w:rPr>
        <w:t>NY/T 393  绿色食品 农药使用准则</w:t>
      </w:r>
    </w:p>
    <w:p w14:paraId="3F2ADB57">
      <w:pPr>
        <w:pStyle w:val="59"/>
        <w:ind w:firstLine="420"/>
        <w:rPr>
          <w:rFonts w:hint="eastAsia" w:hAnsi="Times New Roman" w:cs="Times New Roman"/>
          <w:lang w:val="en-US" w:eastAsia="zh-CN"/>
        </w:rPr>
      </w:pPr>
      <w:r>
        <w:rPr>
          <w:rFonts w:hint="eastAsia"/>
        </w:rPr>
        <w:t>NY/T 394  绿色食品 肥料使用准则</w:t>
      </w:r>
    </w:p>
    <w:bookmarkEnd w:id="46"/>
    <w:bookmarkEnd w:id="47"/>
    <w:p w14:paraId="5E711EAB">
      <w:pPr>
        <w:pStyle w:val="107"/>
        <w:spacing w:before="312" w:after="312"/>
      </w:pPr>
      <w:bookmarkStart w:id="48" w:name="_Toc97191425"/>
      <w:r>
        <w:rPr>
          <w:rFonts w:hint="eastAsia"/>
          <w:szCs w:val="21"/>
        </w:rPr>
        <w:t>术语和定义</w:t>
      </w:r>
      <w:bookmarkEnd w:id="48"/>
    </w:p>
    <w:sdt>
      <w:sdtPr>
        <w:id w:val="-1909835108"/>
        <w:placeholder>
          <w:docPart w:val="6633933ADA554FC1A8E55464F0A880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314776">
          <w:pPr>
            <w:pStyle w:val="59"/>
            <w:ind w:firstLine="420"/>
          </w:pPr>
          <w:bookmarkStart w:id="49" w:name="_Toc26986532"/>
          <w:bookmarkEnd w:id="49"/>
          <w:r>
            <w:t>下列术语和定义适用于本文件。</w:t>
          </w:r>
        </w:p>
      </w:sdtContent>
    </w:sdt>
    <w:p w14:paraId="509CCF18">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lang w:eastAsia="zh-CN"/>
        </w:rPr>
        <w:t>高接换种</w:t>
      </w:r>
    </w:p>
    <w:p w14:paraId="09C1469D">
      <w:pPr>
        <w:pStyle w:val="59"/>
        <w:ind w:firstLine="420"/>
        <w:rPr>
          <w:rFonts w:hint="eastAsia" w:ascii="Times New Roman"/>
          <w:kern w:val="2"/>
          <w:szCs w:val="24"/>
        </w:rPr>
      </w:pPr>
      <w:r>
        <w:rPr>
          <w:rFonts w:hint="eastAsia"/>
        </w:rPr>
        <w:t>在原有品种</w:t>
      </w:r>
      <w:r>
        <w:rPr>
          <w:rFonts w:hint="eastAsia"/>
          <w:lang w:eastAsia="zh-CN"/>
        </w:rPr>
        <w:t>的</w:t>
      </w:r>
      <w:r>
        <w:rPr>
          <w:rFonts w:hint="eastAsia"/>
        </w:rPr>
        <w:t>枝干上通过高位嫁接优良品种</w:t>
      </w:r>
      <w:r>
        <w:rPr>
          <w:rFonts w:hint="eastAsia"/>
          <w:lang w:eastAsia="zh-CN"/>
        </w:rPr>
        <w:t>，</w:t>
      </w:r>
      <w:r>
        <w:rPr>
          <w:rFonts w:hint="eastAsia"/>
        </w:rPr>
        <w:t>进行品种更新</w:t>
      </w:r>
      <w:r>
        <w:rPr>
          <w:rFonts w:hint="eastAsia"/>
          <w:lang w:eastAsia="zh-CN"/>
        </w:rPr>
        <w:t>的方法</w:t>
      </w:r>
      <w:r>
        <w:rPr>
          <w:rFonts w:hint="eastAsia" w:ascii="Times New Roman"/>
          <w:kern w:val="2"/>
          <w:szCs w:val="24"/>
        </w:rPr>
        <w:t>。</w:t>
      </w:r>
    </w:p>
    <w:p w14:paraId="42354720">
      <w:pPr>
        <w:pStyle w:val="226"/>
        <w:ind w:left="420" w:hanging="420" w:hangingChars="200"/>
        <w:rPr>
          <w:rFonts w:hint="eastAsia" w:ascii="黑体" w:hAnsi="黑体" w:eastAsia="黑体" w:cs="Times New Roman"/>
        </w:rPr>
      </w:pPr>
    </w:p>
    <w:p w14:paraId="7DA2412A">
      <w:pPr>
        <w:pStyle w:val="59"/>
        <w:ind w:firstLine="420"/>
        <w:rPr>
          <w:rFonts w:hint="eastAsia" w:ascii="黑体" w:hAnsi="黑体" w:eastAsia="黑体" w:cs="黑体"/>
          <w:lang w:val="en-US" w:eastAsia="zh-CN"/>
        </w:rPr>
      </w:pPr>
      <w:r>
        <w:rPr>
          <w:rFonts w:hint="eastAsia" w:ascii="黑体" w:hAnsi="黑体" w:eastAsia="黑体"/>
        </w:rPr>
        <w:t>高换品种</w:t>
      </w:r>
    </w:p>
    <w:p w14:paraId="72D21F15">
      <w:pPr>
        <w:pStyle w:val="59"/>
        <w:ind w:firstLine="420"/>
        <w:rPr>
          <w:rFonts w:hint="eastAsia" w:asciiTheme="majorEastAsia" w:hAnsiTheme="majorEastAsia" w:eastAsiaTheme="majorEastAsia" w:cstheme="majorEastAsia"/>
          <w:lang w:val="en-US" w:eastAsia="zh-CN"/>
        </w:rPr>
      </w:pPr>
      <w:r>
        <w:rPr>
          <w:rFonts w:hint="eastAsia"/>
        </w:rPr>
        <w:t>以高接的方式替换原有品种的新品种。</w:t>
      </w:r>
    </w:p>
    <w:p w14:paraId="4CEBDBDC">
      <w:pPr>
        <w:pStyle w:val="226"/>
        <w:ind w:left="420" w:hanging="420" w:hangingChars="200"/>
        <w:rPr>
          <w:rFonts w:hint="eastAsia" w:ascii="黑体" w:hAnsi="黑体" w:eastAsia="黑体" w:cs="Times New Roman"/>
          <w:lang w:val="en-US" w:eastAsia="zh-CN"/>
        </w:rPr>
      </w:pPr>
    </w:p>
    <w:p w14:paraId="3CDA4CE8">
      <w:pPr>
        <w:pStyle w:val="226"/>
        <w:numPr>
          <w:ilvl w:val="2"/>
          <w:numId w:val="0"/>
        </w:numPr>
        <w:ind w:leftChars="-200" w:firstLine="840" w:firstLineChars="400"/>
        <w:rPr>
          <w:rFonts w:hint="eastAsia" w:ascii="黑体" w:hAnsi="黑体" w:eastAsia="黑体" w:cs="Times New Roman"/>
        </w:rPr>
      </w:pPr>
      <w:r>
        <w:rPr>
          <w:rFonts w:hint="eastAsia" w:ascii="黑体" w:hAnsi="黑体" w:eastAsia="黑体"/>
        </w:rPr>
        <w:t>抽水枝</w:t>
      </w:r>
    </w:p>
    <w:p w14:paraId="130F7BE3">
      <w:pPr>
        <w:pStyle w:val="226"/>
        <w:numPr>
          <w:ilvl w:val="2"/>
          <w:numId w:val="0"/>
        </w:numPr>
        <w:ind w:left="420" w:leftChars="20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进行高接换种时暂时保留下来的枝条，使地上部分保持一定的光合作用和蒸腾作用，以提高嫁接成</w:t>
      </w:r>
    </w:p>
    <w:p w14:paraId="15F50C0F">
      <w:pPr>
        <w:pStyle w:val="226"/>
        <w:numPr>
          <w:ilvl w:val="2"/>
          <w:numId w:val="0"/>
        </w:numPr>
        <w:rPr>
          <w:rFonts w:hint="eastAsia" w:ascii="黑体" w:hAnsi="黑体" w:eastAsia="黑体" w:cs="Times New Roman"/>
          <w:lang w:val="en-US" w:eastAsia="zh-CN"/>
        </w:rPr>
      </w:pPr>
      <w:r>
        <w:rPr>
          <w:rFonts w:hint="eastAsia" w:ascii="宋体" w:hAnsi="Times New Roman" w:eastAsia="宋体" w:cs="Times New Roman"/>
          <w:sz w:val="21"/>
          <w:lang w:val="en-US" w:eastAsia="zh-CN" w:bidi="ar-SA"/>
        </w:rPr>
        <w:t>活率</w:t>
      </w:r>
      <w:r>
        <w:rPr>
          <w:rFonts w:hint="eastAsia" w:cs="Times New Roman"/>
          <w:sz w:val="21"/>
          <w:lang w:val="en-US" w:eastAsia="zh-CN" w:bidi="ar-SA"/>
        </w:rPr>
        <w:t>。</w:t>
      </w:r>
    </w:p>
    <w:p w14:paraId="576EFD88">
      <w:pPr>
        <w:pStyle w:val="226"/>
        <w:ind w:left="420" w:hanging="420" w:hangingChars="200"/>
        <w:rPr>
          <w:rFonts w:hint="eastAsia" w:ascii="黑体" w:hAnsi="黑体" w:eastAsia="黑体" w:cs="Times New Roman"/>
          <w:lang w:val="en-US" w:eastAsia="zh-CN"/>
        </w:rPr>
      </w:pPr>
    </w:p>
    <w:p w14:paraId="500EC983">
      <w:pPr>
        <w:pStyle w:val="226"/>
        <w:numPr>
          <w:ilvl w:val="2"/>
          <w:numId w:val="0"/>
        </w:numPr>
        <w:ind w:leftChars="-200" w:firstLine="840" w:firstLineChars="400"/>
        <w:rPr>
          <w:rFonts w:hint="eastAsia" w:ascii="黑体" w:hAnsi="黑体" w:eastAsia="黑体" w:cs="Times New Roman"/>
        </w:rPr>
      </w:pPr>
      <w:r>
        <w:rPr>
          <w:rFonts w:hint="eastAsia" w:ascii="黑体" w:hAnsi="黑体" w:eastAsia="黑体"/>
        </w:rPr>
        <w:t>枝接</w:t>
      </w:r>
    </w:p>
    <w:p w14:paraId="2AC58AF4">
      <w:pPr>
        <w:pStyle w:val="226"/>
        <w:numPr>
          <w:ilvl w:val="2"/>
          <w:numId w:val="0"/>
        </w:numPr>
        <w:ind w:leftChars="-200" w:firstLine="840" w:firstLineChars="400"/>
        <w:rPr>
          <w:rFonts w:hint="eastAsia" w:ascii="黑体" w:hAnsi="黑体" w:eastAsia="黑体" w:cs="Times New Roman"/>
        </w:rPr>
      </w:pPr>
      <w:r>
        <w:rPr>
          <w:rFonts w:hint="eastAsia"/>
        </w:rPr>
        <w:t>以枝段为接穗的嫁接方法。</w:t>
      </w:r>
    </w:p>
    <w:p w14:paraId="5C84FF28">
      <w:pPr>
        <w:pStyle w:val="226"/>
        <w:ind w:left="420" w:hanging="420" w:hangingChars="200"/>
        <w:rPr>
          <w:rFonts w:hint="eastAsia" w:ascii="黑体" w:hAnsi="黑体" w:eastAsia="黑体" w:cs="Times New Roman"/>
          <w:lang w:val="en-US" w:eastAsia="zh-CN"/>
        </w:rPr>
      </w:pPr>
    </w:p>
    <w:p w14:paraId="6974108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黑体" w:hAnsi="黑体" w:eastAsia="黑体"/>
        </w:rPr>
        <w:t>切接</w:t>
      </w:r>
    </w:p>
    <w:p w14:paraId="740CF71E">
      <w:pPr>
        <w:pStyle w:val="59"/>
        <w:rPr>
          <w:rFonts w:hint="eastAsia"/>
        </w:rPr>
      </w:pPr>
      <w:r>
        <w:rPr>
          <w:rFonts w:hint="eastAsia"/>
        </w:rPr>
        <w:t>在砧木断面的木质部边缘垂直切开并插入接穗的嫁接方法。</w:t>
      </w:r>
    </w:p>
    <w:p w14:paraId="491423E4">
      <w:pPr>
        <w:pStyle w:val="226"/>
        <w:tabs>
          <w:tab w:val="left" w:pos="0"/>
        </w:tabs>
        <w:ind w:left="420" w:hanging="420" w:hangingChars="200"/>
        <w:rPr>
          <w:rFonts w:hint="eastAsia"/>
        </w:rPr>
      </w:pPr>
      <w:r>
        <w:rPr>
          <w:rFonts w:ascii="Times New Roman" w:hAnsi="Times New Roman" w:eastAsia="黑体" w:cs="Times New Roman"/>
        </w:rPr>
        <w:br w:type="textWrapping"/>
      </w:r>
      <w:r>
        <w:rPr>
          <w:rFonts w:hint="eastAsia" w:ascii="黑体" w:hAnsi="黑体" w:eastAsia="黑体"/>
        </w:rPr>
        <w:t>主枝</w:t>
      </w:r>
    </w:p>
    <w:p w14:paraId="3BF54B22">
      <w:pPr>
        <w:pStyle w:val="226"/>
        <w:numPr>
          <w:ilvl w:val="2"/>
          <w:numId w:val="0"/>
        </w:numPr>
        <w:ind w:leftChars="-200" w:firstLine="840" w:firstLineChars="400"/>
        <w:rPr>
          <w:rFonts w:hint="eastAsia" w:ascii="宋体" w:hAnsi="Times New Roman" w:eastAsia="宋体" w:cs="Times New Roman"/>
          <w:sz w:val="21"/>
          <w:lang w:val="en-US" w:eastAsia="zh-CN" w:bidi="ar-SA"/>
        </w:rPr>
      </w:pPr>
      <w:r>
        <w:rPr>
          <w:rFonts w:hint="eastAsia"/>
        </w:rPr>
        <w:t>着生在中干上的骨干枝。</w:t>
      </w:r>
    </w:p>
    <w:p w14:paraId="5C49390B">
      <w:pPr>
        <w:pStyle w:val="59"/>
        <w:rPr>
          <w:rFonts w:hint="eastAsia"/>
          <w:lang w:val="en-US" w:eastAsia="zh-CN"/>
        </w:rPr>
      </w:pPr>
    </w:p>
    <w:p w14:paraId="6CFE37A7">
      <w:pPr>
        <w:pStyle w:val="107"/>
        <w:spacing w:before="240" w:after="240"/>
        <w:rPr>
          <w:rFonts w:hint="eastAsia" w:hAnsi="Times New Roman" w:cs="Times New Roman"/>
        </w:rPr>
      </w:pPr>
      <w:r>
        <w:rPr>
          <w:rFonts w:hint="eastAsia" w:hAnsi="Times New Roman" w:cs="Times New Roman"/>
          <w:lang w:eastAsia="zh-CN"/>
        </w:rPr>
        <w:t>高接换种</w:t>
      </w:r>
      <w:r>
        <w:rPr>
          <w:rFonts w:hint="eastAsia" w:hAnsi="Times New Roman" w:cs="Times New Roman"/>
        </w:rPr>
        <w:t>果园</w:t>
      </w:r>
      <w:r>
        <w:rPr>
          <w:rFonts w:hint="eastAsia" w:hAnsi="Times New Roman" w:cs="Times New Roman"/>
          <w:lang w:eastAsia="zh-CN"/>
        </w:rPr>
        <w:t>确定</w:t>
      </w:r>
    </w:p>
    <w:p w14:paraId="6F8B094D">
      <w:pPr>
        <w:pStyle w:val="59"/>
        <w:keepNext w:val="0"/>
        <w:keepLines w:val="0"/>
        <w:pageBreakBefore w:val="0"/>
        <w:widowControl/>
        <w:kinsoku/>
        <w:wordWrap/>
        <w:overflowPunct/>
        <w:topLinePunct w:val="0"/>
        <w:bidi w:val="0"/>
        <w:adjustRightInd/>
        <w:snapToGrid/>
        <w:ind w:left="0" w:leftChars="0" w:firstLine="420" w:firstLineChars="200"/>
        <w:textAlignment w:val="auto"/>
      </w:pPr>
      <w:r>
        <w:rPr>
          <w:rFonts w:hint="eastAsia"/>
        </w:rPr>
        <w:t>现有的产量低、品种不适宜当地环境、不适应市场需求的果园等低</w:t>
      </w:r>
      <w:r>
        <w:rPr>
          <w:rFonts w:hint="eastAsia"/>
          <w:lang w:eastAsia="zh-CN"/>
        </w:rPr>
        <w:t>产</w:t>
      </w:r>
      <w:r>
        <w:rPr>
          <w:rFonts w:hint="eastAsia"/>
        </w:rPr>
        <w:t>值的</w:t>
      </w:r>
      <w:r>
        <w:rPr>
          <w:rFonts w:hint="eastAsia"/>
          <w:lang w:eastAsia="zh-CN"/>
        </w:rPr>
        <w:t>石榴</w:t>
      </w:r>
      <w:r>
        <w:rPr>
          <w:rFonts w:hint="eastAsia"/>
        </w:rPr>
        <w:t>园。</w:t>
      </w:r>
    </w:p>
    <w:p w14:paraId="4B85A81B">
      <w:pPr>
        <w:pStyle w:val="107"/>
        <w:spacing w:before="240" w:after="240"/>
        <w:rPr>
          <w:rFonts w:hint="eastAsia" w:hAnsi="Times New Roman" w:cs="Times New Roman"/>
          <w:lang w:eastAsia="zh-CN"/>
        </w:rPr>
      </w:pPr>
      <w:r>
        <w:rPr>
          <w:rFonts w:hint="eastAsia" w:hAnsi="Times New Roman" w:cs="Times New Roman"/>
          <w:lang w:eastAsia="zh-CN"/>
        </w:rPr>
        <w:t>高换品种选择</w:t>
      </w:r>
    </w:p>
    <w:p w14:paraId="40AEDBBD">
      <w:pPr>
        <w:pStyle w:val="59"/>
        <w:keepNext w:val="0"/>
        <w:keepLines w:val="0"/>
        <w:pageBreakBefore w:val="0"/>
        <w:widowControl/>
        <w:kinsoku/>
        <w:wordWrap/>
        <w:overflowPunct/>
        <w:topLinePunct w:val="0"/>
        <w:bidi w:val="0"/>
        <w:adjustRightInd/>
        <w:snapToGrid/>
        <w:ind w:left="0" w:leftChars="0" w:firstLine="420" w:firstLineChars="200"/>
        <w:textAlignment w:val="auto"/>
        <w:rPr>
          <w:rFonts w:hint="eastAsia"/>
          <w:lang w:val="en-US" w:eastAsia="zh-CN"/>
        </w:rPr>
      </w:pPr>
      <w:r>
        <w:rPr>
          <w:rFonts w:hint="eastAsia"/>
        </w:rPr>
        <w:t>选择经国家或</w:t>
      </w:r>
      <w:r>
        <w:rPr>
          <w:rFonts w:hint="eastAsia"/>
          <w:lang w:eastAsia="zh-CN"/>
        </w:rPr>
        <w:t>四川省</w:t>
      </w:r>
      <w:r>
        <w:rPr>
          <w:rFonts w:hint="eastAsia"/>
        </w:rPr>
        <w:t>审、认定且在当地表现良好的</w:t>
      </w:r>
      <w:r>
        <w:rPr>
          <w:rFonts w:hint="eastAsia"/>
          <w:lang w:eastAsia="zh-CN"/>
        </w:rPr>
        <w:t>石榴品种</w:t>
      </w:r>
      <w:r>
        <w:rPr>
          <w:rFonts w:hint="eastAsia"/>
        </w:rPr>
        <w:t>。</w:t>
      </w:r>
      <w:r>
        <w:rPr>
          <w:rFonts w:hint="eastAsia"/>
          <w:lang w:val="en-US" w:eastAsia="zh-CN"/>
        </w:rPr>
        <w:t>在攀枝花地区，石榴栽培以软籽石榴为主，品种可选红玉软籽石榴、紫美石榴、中石榴4号等。</w:t>
      </w:r>
    </w:p>
    <w:p w14:paraId="6CC517A9">
      <w:pPr>
        <w:pStyle w:val="107"/>
        <w:spacing w:before="240" w:after="240"/>
        <w:rPr>
          <w:rFonts w:hint="eastAsia" w:hAnsi="Times New Roman" w:cs="Times New Roman"/>
          <w:lang w:val="en-US" w:eastAsia="zh-CN"/>
        </w:rPr>
      </w:pPr>
      <w:r>
        <w:rPr>
          <w:rFonts w:hint="eastAsia" w:hAnsi="Times New Roman" w:cs="Times New Roman"/>
          <w:lang w:val="en-US" w:eastAsia="zh-CN"/>
        </w:rPr>
        <w:t>接穗的采集与贮藏</w:t>
      </w:r>
    </w:p>
    <w:p w14:paraId="5CF9D284">
      <w:pPr>
        <w:pStyle w:val="108"/>
        <w:spacing w:before="120" w:after="120"/>
        <w:rPr>
          <w:rFonts w:hint="eastAsia" w:hAnsi="Times New Roman" w:cs="Times New Roman"/>
          <w:lang w:val="en-US" w:eastAsia="zh-CN"/>
        </w:rPr>
      </w:pPr>
      <w:r>
        <w:rPr>
          <w:rFonts w:hint="eastAsia" w:hAnsi="Times New Roman" w:cs="Times New Roman"/>
          <w:lang w:val="en-US" w:eastAsia="zh-CN"/>
        </w:rPr>
        <w:t>接穗的采集</w:t>
      </w:r>
    </w:p>
    <w:p w14:paraId="55F861D1">
      <w:pPr>
        <w:pStyle w:val="68"/>
        <w:spacing w:before="156" w:after="156"/>
        <w:rPr>
          <w:rFonts w:hint="eastAsia" w:ascii="宋体" w:hAnsi="宋体" w:eastAsia="宋体" w:cs="宋体"/>
          <w:lang w:val="en-US" w:eastAsia="zh-CN"/>
        </w:rPr>
      </w:pPr>
      <w:r>
        <w:rPr>
          <w:rFonts w:hint="eastAsia" w:ascii="宋体" w:hAnsi="宋体" w:eastAsia="宋体" w:cs="宋体"/>
          <w:lang w:val="en-US" w:eastAsia="zh-CN"/>
        </w:rPr>
        <w:t>采穗母树萌芽前15 d</w:t>
      </w:r>
      <w:r>
        <w:rPr>
          <w:rFonts w:hint="eastAsia" w:ascii="宋体" w:hAnsi="宋体" w:eastAsia="宋体" w:cs="宋体"/>
          <w:lang w:eastAsia="zh-CN"/>
        </w:rPr>
        <w:t>～</w:t>
      </w:r>
      <w:r>
        <w:rPr>
          <w:rFonts w:hint="eastAsia" w:ascii="宋体" w:hAnsi="宋体" w:eastAsia="宋体" w:cs="宋体"/>
          <w:lang w:val="en-US" w:eastAsia="zh-CN"/>
        </w:rPr>
        <w:t>20 d采集，从其树冠外围中上部采集生长健壮、枝条充实、芽体饱满、髓心小、基部直径 0.8 cm</w:t>
      </w:r>
      <w:r>
        <w:rPr>
          <w:rFonts w:hint="eastAsia" w:ascii="宋体" w:hAnsi="宋体" w:eastAsia="宋体" w:cs="宋体"/>
          <w:lang w:eastAsia="zh-CN"/>
        </w:rPr>
        <w:t>～</w:t>
      </w:r>
      <w:r>
        <w:rPr>
          <w:rFonts w:hint="eastAsia" w:ascii="宋体" w:hAnsi="宋体" w:eastAsia="宋体" w:cs="宋体"/>
          <w:lang w:val="en-US" w:eastAsia="zh-CN"/>
        </w:rPr>
        <w:t>1.5 cm、无病虫害的 1 年生营养枝作接穗。</w:t>
      </w:r>
    </w:p>
    <w:p w14:paraId="6E187E89">
      <w:pPr>
        <w:pStyle w:val="68"/>
        <w:spacing w:before="156" w:after="156"/>
        <w:rPr>
          <w:rFonts w:hint="eastAsia" w:ascii="宋体" w:hAnsi="宋体" w:eastAsia="宋体" w:cs="宋体"/>
          <w:lang w:val="en-US" w:eastAsia="zh-CN"/>
        </w:rPr>
      </w:pPr>
      <w:r>
        <w:rPr>
          <w:rFonts w:hint="eastAsia" w:ascii="宋体" w:hAnsi="宋体" w:eastAsia="宋体" w:cs="宋体"/>
          <w:lang w:val="en-US" w:eastAsia="zh-CN"/>
        </w:rPr>
        <w:t>采集接穗，,枝条基部剪口应距最下部的芽3 cm</w:t>
      </w:r>
      <w:r>
        <w:rPr>
          <w:rFonts w:hint="eastAsia" w:ascii="宋体" w:hAnsi="宋体" w:eastAsia="宋体" w:cs="宋体"/>
          <w:lang w:eastAsia="zh-CN"/>
        </w:rPr>
        <w:t>～</w:t>
      </w:r>
      <w:r>
        <w:rPr>
          <w:rFonts w:hint="eastAsia" w:ascii="宋体" w:hAnsi="宋体" w:eastAsia="宋体" w:cs="宋体"/>
          <w:lang w:val="en-US" w:eastAsia="zh-CN"/>
        </w:rPr>
        <w:t>5cm 左右,剪口要平。</w:t>
      </w:r>
    </w:p>
    <w:p w14:paraId="3D7C0499">
      <w:pPr>
        <w:pStyle w:val="68"/>
        <w:spacing w:before="156" w:after="156"/>
        <w:rPr>
          <w:rFonts w:hint="eastAsia" w:ascii="宋体" w:hAnsi="宋体" w:eastAsia="宋体" w:cs="宋体"/>
          <w:lang w:val="en-US" w:eastAsia="zh-CN"/>
        </w:rPr>
      </w:pPr>
      <w:r>
        <w:rPr>
          <w:rFonts w:hint="eastAsia" w:ascii="宋体" w:hAnsi="宋体" w:eastAsia="宋体" w:cs="宋体"/>
          <w:lang w:val="en-US" w:eastAsia="zh-CN"/>
        </w:rPr>
        <w:t>对采下的接穗要进行修剪和整理，剪去顶部过长、弯曲或不充实的梢尖，剪口距上芽2.0 cm以上。</w:t>
      </w:r>
    </w:p>
    <w:p w14:paraId="35AC1DA3">
      <w:pPr>
        <w:pStyle w:val="108"/>
        <w:spacing w:before="120" w:after="120"/>
        <w:rPr>
          <w:rFonts w:hint="eastAsia" w:hAnsi="Times New Roman" w:cs="Times New Roman"/>
          <w:lang w:val="en-US" w:eastAsia="zh-CN"/>
        </w:rPr>
      </w:pPr>
      <w:r>
        <w:rPr>
          <w:rFonts w:hint="eastAsia" w:hAnsi="Times New Roman" w:cs="Times New Roman"/>
          <w:lang w:val="en-US" w:eastAsia="zh-CN"/>
        </w:rPr>
        <w:t>接穗的贮藏</w:t>
      </w:r>
    </w:p>
    <w:p w14:paraId="237CDBBD">
      <w:pPr>
        <w:pStyle w:val="107"/>
        <w:keepNext w:val="0"/>
        <w:keepLines w:val="0"/>
        <w:pageBreakBefore w:val="0"/>
        <w:widowControl/>
        <w:numPr>
          <w:ilvl w:val="1"/>
          <w:numId w:val="0"/>
        </w:numPr>
        <w:kinsoku/>
        <w:wordWrap/>
        <w:overflowPunct/>
        <w:topLinePunct w:val="0"/>
        <w:bidi w:val="0"/>
        <w:adjustRightInd/>
        <w:snapToGrid/>
        <w:spacing w:before="312" w:after="312"/>
        <w:ind w:leftChars="0"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插条采集后</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剪除插条上的分枝及针剌</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去掉上端细弱部分及下端芽瘦瘪部分。每50根捆成1捆,拴上标签</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写明品种名称</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插条数量</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采集时间</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采集地点和采集人,进行沙藏。</w:t>
      </w:r>
    </w:p>
    <w:p w14:paraId="16C241CC">
      <w:pPr>
        <w:pStyle w:val="107"/>
        <w:spacing w:before="240" w:after="240"/>
        <w:rPr>
          <w:rFonts w:hint="eastAsia" w:hAnsi="Times New Roman" w:cs="Times New Roman"/>
          <w:lang w:val="en-US" w:eastAsia="zh-CN"/>
        </w:rPr>
      </w:pPr>
      <w:r>
        <w:rPr>
          <w:rFonts w:hint="eastAsia" w:hAnsi="Times New Roman" w:cs="Times New Roman"/>
          <w:lang w:val="en-US" w:eastAsia="zh-CN"/>
        </w:rPr>
        <w:t>嫁接时期</w:t>
      </w:r>
    </w:p>
    <w:p w14:paraId="0BCD013C">
      <w:pPr>
        <w:pStyle w:val="107"/>
        <w:keepNext w:val="0"/>
        <w:keepLines w:val="0"/>
        <w:pageBreakBefore w:val="0"/>
        <w:widowControl/>
        <w:numPr>
          <w:ilvl w:val="1"/>
          <w:numId w:val="0"/>
        </w:numPr>
        <w:kinsoku/>
        <w:wordWrap/>
        <w:overflowPunct/>
        <w:topLinePunct w:val="0"/>
        <w:bidi w:val="0"/>
        <w:adjustRightInd/>
        <w:snapToGrid/>
        <w:spacing w:before="312" w:after="312"/>
        <w:ind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在攀枝花地区，嫁接时间</w:t>
      </w:r>
      <w:r>
        <w:rPr>
          <w:rFonts w:hint="default" w:ascii="宋体" w:hAnsi="Times New Roman" w:eastAsia="宋体" w:cs="Times New Roman"/>
          <w:sz w:val="21"/>
          <w:lang w:val="en-US" w:eastAsia="zh-CN" w:bidi="ar-SA"/>
        </w:rPr>
        <w:t>从树液开始流动到萌芽前进行</w:t>
      </w:r>
      <w:r>
        <w:rPr>
          <w:rFonts w:hint="eastAsia" w:ascii="宋体" w:hAnsi="Times New Roman" w:eastAsia="宋体" w:cs="Times New Roman"/>
          <w:sz w:val="21"/>
          <w:lang w:val="en-US" w:eastAsia="zh-CN" w:bidi="ar-SA"/>
        </w:rPr>
        <w:t>，在2月中上旬嫁接为宜。</w:t>
      </w:r>
    </w:p>
    <w:p w14:paraId="0C8EB3D1">
      <w:pPr>
        <w:pStyle w:val="107"/>
        <w:spacing w:before="240" w:after="240"/>
        <w:rPr>
          <w:rFonts w:hint="eastAsia" w:hAnsi="Times New Roman" w:cs="Times New Roman"/>
          <w:lang w:val="en-US" w:eastAsia="zh-CN"/>
        </w:rPr>
      </w:pPr>
      <w:r>
        <w:rPr>
          <w:rFonts w:hint="eastAsia" w:hAnsi="Times New Roman" w:cs="Times New Roman"/>
          <w:lang w:val="en-US" w:eastAsia="zh-CN"/>
        </w:rPr>
        <w:t>嫁接方法</w:t>
      </w:r>
    </w:p>
    <w:p w14:paraId="020E5127">
      <w:pPr>
        <w:pStyle w:val="108"/>
        <w:spacing w:before="120" w:after="120"/>
        <w:rPr>
          <w:rFonts w:hint="default" w:hAnsi="Times New Roman" w:cs="Times New Roman"/>
          <w:lang w:val="en-US" w:eastAsia="zh-CN"/>
        </w:rPr>
      </w:pPr>
      <w:r>
        <w:rPr>
          <w:rFonts w:hint="eastAsia" w:hAnsi="Times New Roman" w:cs="Times New Roman"/>
          <w:lang w:val="en-US" w:eastAsia="zh-CN"/>
        </w:rPr>
        <w:t>春季切接</w:t>
      </w:r>
    </w:p>
    <w:p w14:paraId="2912A85E">
      <w:pPr>
        <w:pStyle w:val="68"/>
        <w:spacing w:before="156" w:after="156"/>
        <w:rPr>
          <w:rFonts w:hint="eastAsia"/>
          <w:lang w:val="en-US" w:eastAsia="zh-CN"/>
        </w:rPr>
      </w:pPr>
      <w:r>
        <w:rPr>
          <w:rFonts w:hint="eastAsia"/>
          <w:lang w:val="en-US" w:eastAsia="zh-CN"/>
        </w:rPr>
        <w:t>选留嫁接枝和抽水枝</w:t>
      </w:r>
    </w:p>
    <w:p w14:paraId="2010A79B">
      <w:pPr>
        <w:pStyle w:val="107"/>
        <w:keepNext w:val="0"/>
        <w:keepLines w:val="0"/>
        <w:pageBreakBefore w:val="0"/>
        <w:widowControl/>
        <w:numPr>
          <w:ilvl w:val="0"/>
          <w:numId w:val="0"/>
        </w:numPr>
        <w:kinsoku/>
        <w:wordWrap/>
        <w:overflowPunct/>
        <w:topLinePunct w:val="0"/>
        <w:bidi w:val="0"/>
        <w:adjustRightInd/>
        <w:snapToGrid/>
        <w:spacing w:before="312" w:after="312"/>
        <w:ind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选留 3-4 个不同方向、分布均匀、健壮主枝或副主枝作为高接。在距主干6 cm</w:t>
      </w:r>
      <w:r>
        <w:rPr>
          <w:rFonts w:hint="eastAsia" w:ascii="宋体" w:eastAsia="宋体"/>
        </w:rPr>
        <w:t>～</w:t>
      </w:r>
      <w:r>
        <w:rPr>
          <w:rFonts w:hint="eastAsia" w:ascii="宋体" w:hAnsi="Times New Roman" w:eastAsia="宋体" w:cs="Times New Roman"/>
          <w:sz w:val="21"/>
          <w:lang w:val="en-US" w:eastAsia="zh-CN" w:bidi="ar-SA"/>
        </w:rPr>
        <w:t>80 cm处剪除。选留1</w:t>
      </w:r>
      <w:r>
        <w:rPr>
          <w:rFonts w:hint="eastAsia" w:ascii="宋体" w:eastAsia="宋体"/>
        </w:rPr>
        <w:t>～</w:t>
      </w:r>
      <w:r>
        <w:rPr>
          <w:rFonts w:hint="eastAsia" w:ascii="宋体" w:hAnsi="Times New Roman" w:eastAsia="宋体" w:cs="Times New Roman"/>
          <w:sz w:val="21"/>
          <w:lang w:val="en-US" w:eastAsia="zh-CN" w:bidi="ar-SA"/>
        </w:rPr>
        <w:t>2个低于高接部位以下枝作抽水枝,，下部无枝则选留1个开张角度大的主枝或副主枝作抽水枝，抽水枝枝梢保留原枝梢的 1/4</w:t>
      </w:r>
      <w:r>
        <w:rPr>
          <w:rFonts w:hint="eastAsia" w:ascii="宋体" w:eastAsia="宋体"/>
        </w:rPr>
        <w:t>～</w:t>
      </w:r>
      <w:r>
        <w:rPr>
          <w:rFonts w:hint="eastAsia" w:ascii="宋体" w:hAnsi="Times New Roman" w:eastAsia="宋体" w:cs="Times New Roman"/>
          <w:sz w:val="21"/>
          <w:lang w:val="en-US" w:eastAsia="zh-CN" w:bidi="ar-SA"/>
        </w:rPr>
        <w:t>1/5</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余下枝从基部疏除。</w:t>
      </w:r>
    </w:p>
    <w:p w14:paraId="11899091">
      <w:pPr>
        <w:pStyle w:val="68"/>
        <w:spacing w:before="156" w:after="156"/>
        <w:rPr>
          <w:rFonts w:hint="eastAsia"/>
          <w:lang w:val="en-US" w:eastAsia="zh-CN"/>
        </w:rPr>
      </w:pPr>
      <w:r>
        <w:rPr>
          <w:rFonts w:hint="eastAsia"/>
          <w:lang w:val="en-US" w:eastAsia="zh-CN"/>
        </w:rPr>
        <w:t>剪取接穗</w:t>
      </w:r>
    </w:p>
    <w:p w14:paraId="2438CF8B">
      <w:pPr>
        <w:pStyle w:val="107"/>
        <w:keepNext w:val="0"/>
        <w:keepLines w:val="0"/>
        <w:pageBreakBefore w:val="0"/>
        <w:widowControl/>
        <w:numPr>
          <w:ilvl w:val="0"/>
          <w:numId w:val="0"/>
        </w:numPr>
        <w:kinsoku/>
        <w:wordWrap/>
        <w:overflowPunct/>
        <w:topLinePunct w:val="0"/>
        <w:bidi w:val="0"/>
        <w:adjustRightInd/>
        <w:snapToGrid/>
        <w:spacing w:before="312" w:after="312"/>
        <w:ind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将接穗枝条剪成长 8 cm</w:t>
      </w:r>
      <w:r>
        <w:rPr>
          <w:rFonts w:hint="eastAsia" w:ascii="宋体" w:eastAsia="宋体"/>
        </w:rPr>
        <w:t>～</w:t>
      </w:r>
      <w:r>
        <w:rPr>
          <w:rFonts w:hint="eastAsia" w:ascii="宋体" w:hAnsi="Times New Roman" w:eastAsia="宋体" w:cs="Times New Roman"/>
          <w:sz w:val="21"/>
          <w:lang w:val="en-US" w:eastAsia="zh-CN" w:bidi="ar-SA"/>
        </w:rPr>
        <w:t>10</w:t>
      </w:r>
      <w:r>
        <w:rPr>
          <w:rFonts w:hint="eastAsia"/>
          <w:lang w:val="en-US" w:eastAsia="zh-CN"/>
        </w:rPr>
        <w:t xml:space="preserve"> </w:t>
      </w:r>
      <w:r>
        <w:rPr>
          <w:rFonts w:hint="eastAsia" w:ascii="宋体" w:hAnsi="Times New Roman" w:eastAsia="宋体" w:cs="Times New Roman"/>
          <w:sz w:val="21"/>
          <w:lang w:val="en-US" w:eastAsia="zh-CN" w:bidi="ar-SA"/>
        </w:rPr>
        <w:t>cm 且含有 1 个</w:t>
      </w:r>
      <w:r>
        <w:rPr>
          <w:rFonts w:hint="eastAsia" w:ascii="宋体" w:eastAsia="宋体"/>
        </w:rPr>
        <w:t>～</w:t>
      </w:r>
      <w:r>
        <w:rPr>
          <w:rFonts w:hint="eastAsia" w:ascii="宋体" w:hAnsi="Times New Roman" w:eastAsia="宋体" w:cs="Times New Roman"/>
          <w:sz w:val="21"/>
          <w:lang w:val="en-US" w:eastAsia="zh-CN" w:bidi="ar-SA"/>
        </w:rPr>
        <w:t>2 个饱满叶芽或混合芽的枝段，并在其基部芽的下方留出 3</w:t>
      </w:r>
      <w:r>
        <w:rPr>
          <w:rFonts w:hint="eastAsia"/>
          <w:lang w:val="en-US" w:eastAsia="zh-CN"/>
        </w:rPr>
        <w:t xml:space="preserve"> </w:t>
      </w:r>
      <w:r>
        <w:rPr>
          <w:rFonts w:hint="eastAsia" w:ascii="宋体" w:hAnsi="Times New Roman" w:eastAsia="宋体" w:cs="Times New Roman"/>
          <w:sz w:val="21"/>
          <w:lang w:val="en-US" w:eastAsia="zh-CN" w:bidi="ar-SA"/>
        </w:rPr>
        <w:t>cm</w:t>
      </w:r>
      <w:r>
        <w:rPr>
          <w:rFonts w:hint="eastAsia" w:ascii="宋体" w:eastAsia="宋体"/>
        </w:rPr>
        <w:t>～</w:t>
      </w:r>
      <w:r>
        <w:rPr>
          <w:rFonts w:hint="eastAsia" w:ascii="宋体" w:hAnsi="Times New Roman" w:eastAsia="宋体" w:cs="Times New Roman"/>
          <w:sz w:val="21"/>
          <w:lang w:val="en-US" w:eastAsia="zh-CN" w:bidi="ar-SA"/>
        </w:rPr>
        <w:t>5</w:t>
      </w:r>
      <w:r>
        <w:rPr>
          <w:rFonts w:hint="eastAsia"/>
          <w:lang w:val="en-US" w:eastAsia="zh-CN"/>
        </w:rPr>
        <w:t xml:space="preserve"> </w:t>
      </w:r>
      <w:r>
        <w:rPr>
          <w:rFonts w:hint="eastAsia" w:ascii="宋体" w:hAnsi="Times New Roman" w:eastAsia="宋体" w:cs="Times New Roman"/>
          <w:sz w:val="21"/>
          <w:lang w:val="en-US" w:eastAsia="zh-CN" w:bidi="ar-SA"/>
        </w:rPr>
        <w:t>cm 长的削切面枝段。</w:t>
      </w:r>
    </w:p>
    <w:p w14:paraId="4D8F34A3">
      <w:pPr>
        <w:pStyle w:val="68"/>
        <w:spacing w:before="156" w:after="156"/>
        <w:rPr>
          <w:rFonts w:hint="eastAsia"/>
          <w:lang w:val="en-US" w:eastAsia="zh-CN"/>
        </w:rPr>
      </w:pPr>
      <w:r>
        <w:rPr>
          <w:rFonts w:hint="eastAsia"/>
          <w:lang w:val="en-US" w:eastAsia="zh-CN"/>
        </w:rPr>
        <w:t>其它嫁接技术要点</w:t>
      </w:r>
    </w:p>
    <w:p w14:paraId="350A890D">
      <w:pPr>
        <w:pStyle w:val="107"/>
        <w:keepNext w:val="0"/>
        <w:keepLines w:val="0"/>
        <w:pageBreakBefore w:val="0"/>
        <w:widowControl/>
        <w:numPr>
          <w:ilvl w:val="0"/>
          <w:numId w:val="0"/>
        </w:numPr>
        <w:kinsoku/>
        <w:wordWrap/>
        <w:overflowPunct/>
        <w:topLinePunct w:val="0"/>
        <w:bidi w:val="0"/>
        <w:adjustRightInd/>
        <w:snapToGrid/>
        <w:spacing w:before="312" w:after="312"/>
        <w:ind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参照</w:t>
      </w:r>
      <w:r>
        <w:rPr>
          <w:rFonts w:hint="eastAsia" w:ascii="宋体" w:hAnsi="Times New Roman" w:eastAsia="宋体" w:cs="Times New Roman"/>
          <w:sz w:val="21"/>
          <w:lang w:val="en-US" w:eastAsia="zh-CN" w:bidi="ar-SA"/>
        </w:rPr>
        <w:t>GB/T 32746-2016</w:t>
      </w:r>
      <w:r>
        <w:rPr>
          <w:rFonts w:hint="default" w:ascii="宋体" w:hAnsi="Times New Roman" w:eastAsia="宋体" w:cs="Times New Roman"/>
          <w:sz w:val="21"/>
          <w:lang w:val="en-US" w:eastAsia="zh-CN" w:bidi="ar-SA"/>
        </w:rPr>
        <w:t>的要求执行。</w:t>
      </w:r>
    </w:p>
    <w:p w14:paraId="45B95E98">
      <w:pPr>
        <w:pStyle w:val="107"/>
        <w:spacing w:before="240" w:after="240"/>
        <w:rPr>
          <w:rFonts w:hint="default" w:hAnsi="Times New Roman" w:cs="Times New Roman"/>
          <w:lang w:val="en-US" w:eastAsia="zh-CN"/>
        </w:rPr>
      </w:pPr>
      <w:r>
        <w:rPr>
          <w:rFonts w:hint="default" w:hAnsi="Times New Roman" w:cs="Times New Roman"/>
          <w:lang w:val="en-US" w:eastAsia="zh-CN"/>
        </w:rPr>
        <w:t>高接后管理</w:t>
      </w:r>
    </w:p>
    <w:p w14:paraId="5043FF57">
      <w:pPr>
        <w:pStyle w:val="108"/>
        <w:spacing w:before="120" w:after="120"/>
        <w:rPr>
          <w:rFonts w:hint="default" w:hAnsi="Times New Roman" w:cs="Times New Roman"/>
          <w:lang w:val="en-US" w:eastAsia="zh-CN"/>
        </w:rPr>
      </w:pPr>
      <w:r>
        <w:rPr>
          <w:rFonts w:hint="eastAsia" w:hAnsi="Times New Roman" w:cs="Times New Roman"/>
          <w:lang w:val="en-US" w:eastAsia="zh-CN"/>
        </w:rPr>
        <w:t>第一年</w:t>
      </w:r>
    </w:p>
    <w:p w14:paraId="1DA7F453">
      <w:pPr>
        <w:pStyle w:val="68"/>
        <w:spacing w:before="156" w:after="156"/>
        <w:rPr>
          <w:rFonts w:hint="eastAsia"/>
          <w:lang w:val="en-US" w:eastAsia="zh-CN"/>
        </w:rPr>
      </w:pPr>
      <w:r>
        <w:rPr>
          <w:rFonts w:hint="eastAsia"/>
          <w:lang w:val="en-US" w:eastAsia="zh-CN"/>
        </w:rPr>
        <w:t>补接</w:t>
      </w:r>
    </w:p>
    <w:p w14:paraId="3DCE1812">
      <w:pPr>
        <w:pStyle w:val="107"/>
        <w:keepNext w:val="0"/>
        <w:keepLines w:val="0"/>
        <w:pageBreakBefore w:val="0"/>
        <w:widowControl/>
        <w:numPr>
          <w:ilvl w:val="1"/>
          <w:numId w:val="0"/>
        </w:numPr>
        <w:kinsoku/>
        <w:wordWrap/>
        <w:overflowPunct/>
        <w:topLinePunct w:val="0"/>
        <w:bidi w:val="0"/>
        <w:adjustRightInd/>
        <w:snapToGrid/>
        <w:spacing w:before="312" w:after="312"/>
        <w:ind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接后15</w:t>
      </w:r>
      <w:r>
        <w:rPr>
          <w:rFonts w:hint="eastAsia"/>
          <w:lang w:val="en-US" w:eastAsia="zh-CN"/>
        </w:rPr>
        <w:t xml:space="preserve"> d</w:t>
      </w:r>
      <w:r>
        <w:rPr>
          <w:rFonts w:hint="eastAsia" w:ascii="宋体" w:eastAsia="宋体"/>
        </w:rPr>
        <w:t>～</w:t>
      </w:r>
      <w:r>
        <w:rPr>
          <w:rFonts w:hint="eastAsia" w:ascii="宋体" w:hAnsi="Times New Roman" w:eastAsia="宋体" w:cs="Times New Roman"/>
          <w:sz w:val="21"/>
          <w:lang w:val="en-US" w:eastAsia="zh-CN" w:bidi="ar-SA"/>
        </w:rPr>
        <w:t>20</w:t>
      </w:r>
      <w:r>
        <w:rPr>
          <w:rFonts w:hint="eastAsia"/>
          <w:lang w:val="en-US" w:eastAsia="zh-CN"/>
        </w:rPr>
        <w:t xml:space="preserve"> d</w:t>
      </w:r>
      <w:r>
        <w:rPr>
          <w:rFonts w:hint="eastAsia" w:ascii="宋体" w:hAnsi="Times New Roman" w:eastAsia="宋体" w:cs="Times New Roman"/>
          <w:sz w:val="21"/>
          <w:lang w:val="en-US" w:eastAsia="zh-CN" w:bidi="ar-SA"/>
        </w:rPr>
        <w:t>,检查是否成活。凡接芽新鲜或芽已萌动为成活。未成活的接芽应重新选取部位进行补接。</w:t>
      </w:r>
    </w:p>
    <w:p w14:paraId="3C0FF654">
      <w:pPr>
        <w:pStyle w:val="68"/>
        <w:spacing w:before="156" w:after="156"/>
        <w:rPr>
          <w:rFonts w:hint="eastAsia"/>
          <w:lang w:val="en-US" w:eastAsia="zh-CN"/>
        </w:rPr>
      </w:pPr>
      <w:r>
        <w:rPr>
          <w:rFonts w:hint="eastAsia"/>
          <w:lang w:val="en-US" w:eastAsia="zh-CN"/>
        </w:rPr>
        <w:t>树杆保护</w:t>
      </w:r>
    </w:p>
    <w:p w14:paraId="7D772642">
      <w:pPr>
        <w:pStyle w:val="107"/>
        <w:keepNext w:val="0"/>
        <w:keepLines w:val="0"/>
        <w:pageBreakBefore w:val="0"/>
        <w:widowControl/>
        <w:numPr>
          <w:ilvl w:val="1"/>
          <w:numId w:val="0"/>
        </w:numPr>
        <w:kinsoku/>
        <w:wordWrap/>
        <w:overflowPunct/>
        <w:topLinePunct w:val="0"/>
        <w:bidi w:val="0"/>
        <w:adjustRightInd/>
        <w:snapToGrid/>
        <w:spacing w:before="312" w:after="312"/>
        <w:ind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对裸露的枝干</w:t>
      </w:r>
      <w:r>
        <w:rPr>
          <w:rFonts w:hint="eastAsia" w:ascii="宋体" w:eastAsia="宋体" w:cs="Times New Roman"/>
          <w:sz w:val="21"/>
          <w:lang w:val="en-US" w:eastAsia="zh-CN" w:bidi="ar-SA"/>
        </w:rPr>
        <w:t>，</w:t>
      </w:r>
      <w:r>
        <w:rPr>
          <w:rFonts w:hint="default" w:ascii="宋体" w:hAnsi="Times New Roman" w:eastAsia="宋体" w:cs="Times New Roman"/>
          <w:sz w:val="21"/>
          <w:lang w:val="en-US" w:eastAsia="zh-CN" w:bidi="ar-SA"/>
        </w:rPr>
        <w:t xml:space="preserve">在 </w:t>
      </w:r>
      <w:r>
        <w:rPr>
          <w:rFonts w:hint="eastAsia" w:ascii="宋体" w:hAnsi="Times New Roman" w:eastAsia="宋体" w:cs="Times New Roman"/>
          <w:sz w:val="21"/>
          <w:lang w:val="en-US" w:eastAsia="zh-CN" w:bidi="ar-SA"/>
        </w:rPr>
        <w:t>3</w:t>
      </w:r>
      <w:r>
        <w:rPr>
          <w:rFonts w:hint="default" w:ascii="宋体" w:hAnsi="Times New Roman" w:eastAsia="宋体" w:cs="Times New Roman"/>
          <w:sz w:val="21"/>
          <w:lang w:val="en-US" w:eastAsia="zh-CN" w:bidi="ar-SA"/>
        </w:rPr>
        <w:t>月</w:t>
      </w:r>
      <w:r>
        <w:rPr>
          <w:rFonts w:hint="eastAsia" w:ascii="宋体" w:hAnsi="Times New Roman" w:eastAsia="宋体" w:cs="Times New Roman"/>
          <w:sz w:val="21"/>
          <w:lang w:val="en-US" w:eastAsia="zh-CN" w:bidi="ar-SA"/>
        </w:rPr>
        <w:t>中</w:t>
      </w:r>
      <w:r>
        <w:rPr>
          <w:rFonts w:hint="default" w:ascii="宋体" w:hAnsi="Times New Roman" w:eastAsia="宋体" w:cs="Times New Roman"/>
          <w:sz w:val="21"/>
          <w:lang w:val="en-US" w:eastAsia="zh-CN" w:bidi="ar-SA"/>
        </w:rPr>
        <w:t>下旬及时刷涂白剂</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防止夏季日灼</w:t>
      </w:r>
      <w:r>
        <w:rPr>
          <w:rFonts w:hint="eastAsia" w:ascii="宋体" w:eastAsia="宋体" w:cs="Times New Roman"/>
          <w:sz w:val="21"/>
          <w:lang w:val="en-US" w:eastAsia="zh-CN" w:bidi="ar-SA"/>
        </w:rPr>
        <w:t>。</w:t>
      </w:r>
    </w:p>
    <w:p w14:paraId="5318C909">
      <w:pPr>
        <w:pStyle w:val="68"/>
        <w:spacing w:before="156" w:after="156"/>
        <w:rPr>
          <w:rFonts w:hint="eastAsia"/>
          <w:lang w:val="en-US" w:eastAsia="zh-CN"/>
        </w:rPr>
      </w:pPr>
      <w:r>
        <w:rPr>
          <w:rFonts w:hint="eastAsia"/>
          <w:lang w:val="en-US" w:eastAsia="zh-CN"/>
        </w:rPr>
        <w:t>绑支杆防风</w:t>
      </w:r>
    </w:p>
    <w:p w14:paraId="38372AD5">
      <w:pPr>
        <w:pStyle w:val="107"/>
        <w:keepNext w:val="0"/>
        <w:keepLines w:val="0"/>
        <w:pageBreakBefore w:val="0"/>
        <w:widowControl/>
        <w:numPr>
          <w:ilvl w:val="1"/>
          <w:numId w:val="0"/>
        </w:numPr>
        <w:kinsoku/>
        <w:wordWrap/>
        <w:overflowPunct/>
        <w:topLinePunct w:val="0"/>
        <w:bidi w:val="0"/>
        <w:adjustRightInd/>
        <w:snapToGrid/>
        <w:spacing w:before="312" w:after="312"/>
        <w:ind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在接口处绑缚直径 </w:t>
      </w:r>
      <w:r>
        <w:rPr>
          <w:rFonts w:hint="eastAsia" w:ascii="宋体" w:eastAsia="宋体" w:cs="Times New Roman"/>
          <w:sz w:val="21"/>
          <w:lang w:val="en-US" w:eastAsia="zh-CN" w:bidi="ar-SA"/>
        </w:rPr>
        <w:t>6</w:t>
      </w:r>
      <w:r>
        <w:rPr>
          <w:rFonts w:hint="eastAsia" w:ascii="宋体" w:hAnsi="Times New Roman" w:eastAsia="宋体" w:cs="Times New Roman"/>
          <w:sz w:val="21"/>
          <w:lang w:val="en-US" w:eastAsia="zh-CN" w:bidi="ar-SA"/>
        </w:rPr>
        <w:t xml:space="preserve"> cm</w:t>
      </w:r>
      <w:r>
        <w:rPr>
          <w:rFonts w:hint="eastAsia" w:ascii="宋体" w:eastAsia="宋体"/>
        </w:rPr>
        <w:t>～</w:t>
      </w:r>
      <w:r>
        <w:rPr>
          <w:rFonts w:hint="eastAsia" w:ascii="宋体" w:eastAsia="宋体" w:cs="Times New Roman"/>
          <w:sz w:val="21"/>
          <w:lang w:val="en-US" w:eastAsia="zh-CN" w:bidi="ar-SA"/>
        </w:rPr>
        <w:t>8</w:t>
      </w:r>
      <w:r>
        <w:rPr>
          <w:rFonts w:hint="eastAsia" w:ascii="宋体" w:hAnsi="Times New Roman" w:eastAsia="宋体" w:cs="Times New Roman"/>
          <w:sz w:val="21"/>
          <w:lang w:val="en-US" w:eastAsia="zh-CN" w:bidi="ar-SA"/>
        </w:rPr>
        <w:t xml:space="preserve"> cm、长 150 cm</w:t>
      </w:r>
      <w:r>
        <w:rPr>
          <w:rFonts w:hint="eastAsia" w:ascii="宋体" w:eastAsia="宋体"/>
        </w:rPr>
        <w:t>～</w:t>
      </w:r>
      <w:r>
        <w:rPr>
          <w:rFonts w:hint="eastAsia" w:ascii="宋体" w:hAnsi="Times New Roman" w:eastAsia="宋体" w:cs="Times New Roman"/>
          <w:sz w:val="21"/>
          <w:lang w:val="en-US" w:eastAsia="zh-CN" w:bidi="ar-SA"/>
        </w:rPr>
        <w:t>200 cm 的支杆,支杆要牢固地绑在砧木的主干或主枝上,再将新梢绑缚固定在支杆上将新梢的主茎和砧木桩。捆缚绑带选择塑料带,捆缚的时间要持续半年以上,待嫁接口充分愈合,具备抗风能力时</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才可以解缚。</w:t>
      </w:r>
    </w:p>
    <w:p w14:paraId="2A924B93">
      <w:pPr>
        <w:pStyle w:val="68"/>
        <w:spacing w:before="156" w:after="156"/>
        <w:rPr>
          <w:rFonts w:hint="eastAsia"/>
          <w:lang w:val="en-US" w:eastAsia="zh-CN"/>
        </w:rPr>
      </w:pPr>
      <w:r>
        <w:rPr>
          <w:rFonts w:hint="eastAsia"/>
          <w:lang w:val="en-US" w:eastAsia="zh-CN"/>
        </w:rPr>
        <w:t>除萌蘖</w:t>
      </w:r>
    </w:p>
    <w:p w14:paraId="31A39E8A">
      <w:pPr>
        <w:pStyle w:val="59"/>
        <w:keepNext w:val="0"/>
        <w:keepLines w:val="0"/>
        <w:pageBreakBefore w:val="0"/>
        <w:widowControl/>
        <w:kinsoku/>
        <w:wordWrap/>
        <w:overflowPunct/>
        <w:topLinePunct w:val="0"/>
        <w:bidi w:val="0"/>
        <w:adjustRightInd/>
        <w:snapToGrid/>
        <w:ind w:left="0" w:leftChars="0" w:firstLine="420" w:firstLineChars="200"/>
        <w:textAlignment w:val="auto"/>
        <w:rPr>
          <w:rFonts w:hint="eastAsia"/>
          <w:lang w:val="en-US" w:eastAsia="zh-CN"/>
        </w:rPr>
      </w:pPr>
      <w:r>
        <w:rPr>
          <w:rFonts w:hint="eastAsia"/>
          <w:lang w:val="en-US" w:eastAsia="zh-CN"/>
        </w:rPr>
        <w:t>嫁接后10 d</w:t>
      </w:r>
      <w:r>
        <w:rPr>
          <w:rFonts w:hint="eastAsia" w:ascii="宋体" w:eastAsia="宋体"/>
        </w:rPr>
        <w:t>～</w:t>
      </w:r>
      <w:r>
        <w:rPr>
          <w:rFonts w:hint="eastAsia"/>
          <w:lang w:val="en-US" w:eastAsia="zh-CN"/>
        </w:rPr>
        <w:t>15 d及时进行首次除萌蘖,以后每隔1周左右进行一次,直至无萌蘖为止。在内膛缺枝</w:t>
      </w:r>
    </w:p>
    <w:p w14:paraId="5A30D3B1">
      <w:pPr>
        <w:pStyle w:val="59"/>
        <w:keepNext w:val="0"/>
        <w:keepLines w:val="0"/>
        <w:pageBreakBefore w:val="0"/>
        <w:widowControl/>
        <w:kinsoku/>
        <w:wordWrap/>
        <w:overflowPunct/>
        <w:topLinePunct w:val="0"/>
        <w:bidi w:val="0"/>
        <w:adjustRightInd/>
        <w:snapToGrid/>
        <w:ind w:left="0" w:leftChars="0" w:firstLine="420" w:firstLineChars="200"/>
        <w:textAlignment w:val="auto"/>
        <w:rPr>
          <w:rFonts w:hint="eastAsia"/>
          <w:lang w:val="en-US" w:eastAsia="zh-CN"/>
        </w:rPr>
      </w:pPr>
      <w:r>
        <w:rPr>
          <w:rFonts w:hint="eastAsia"/>
          <w:lang w:val="en-US" w:eastAsia="zh-CN"/>
        </w:rPr>
        <w:t>处或接枝、接芽未成活处,可留少量萌蘖,以备补接用。若当地阳光过强,易造成秃裸枝干日灼，可在</w:t>
      </w:r>
    </w:p>
    <w:p w14:paraId="2E0B7C96">
      <w:pPr>
        <w:pStyle w:val="59"/>
        <w:keepNext w:val="0"/>
        <w:keepLines w:val="0"/>
        <w:pageBreakBefore w:val="0"/>
        <w:widowControl/>
        <w:kinsoku/>
        <w:wordWrap/>
        <w:overflowPunct/>
        <w:topLinePunct w:val="0"/>
        <w:bidi w:val="0"/>
        <w:adjustRightInd/>
        <w:snapToGrid/>
        <w:ind w:left="0" w:leftChars="0" w:firstLine="420" w:firstLineChars="200"/>
        <w:textAlignment w:val="auto"/>
        <w:rPr>
          <w:rFonts w:hint="eastAsia"/>
          <w:lang w:val="en-US" w:eastAsia="zh-CN"/>
        </w:rPr>
      </w:pPr>
      <w:r>
        <w:rPr>
          <w:rFonts w:hint="eastAsia"/>
          <w:lang w:val="en-US" w:eastAsia="zh-CN"/>
        </w:rPr>
        <w:t>一定部位留几枝萌蘖遮阳。</w:t>
      </w:r>
    </w:p>
    <w:p w14:paraId="5AD515B8">
      <w:pPr>
        <w:pStyle w:val="68"/>
        <w:spacing w:before="156" w:after="156"/>
        <w:rPr>
          <w:rFonts w:hint="eastAsia"/>
          <w:lang w:val="en-US" w:eastAsia="zh-CN"/>
        </w:rPr>
      </w:pPr>
      <w:r>
        <w:rPr>
          <w:rFonts w:hint="eastAsia"/>
          <w:lang w:val="en-US" w:eastAsia="zh-CN"/>
        </w:rPr>
        <w:t>剪除抽水枝</w:t>
      </w:r>
    </w:p>
    <w:p w14:paraId="6D4A3E88">
      <w:pPr>
        <w:pStyle w:val="59"/>
        <w:keepNext w:val="0"/>
        <w:keepLines w:val="0"/>
        <w:pageBreakBefore w:val="0"/>
        <w:widowControl/>
        <w:kinsoku/>
        <w:wordWrap/>
        <w:overflowPunct/>
        <w:topLinePunct w:val="0"/>
        <w:bidi w:val="0"/>
        <w:adjustRightInd/>
        <w:snapToGrid/>
        <w:ind w:left="0" w:leftChars="0" w:firstLine="420" w:firstLineChars="200"/>
        <w:textAlignment w:val="auto"/>
        <w:rPr>
          <w:rFonts w:hint="default"/>
          <w:lang w:val="en-US" w:eastAsia="zh-CN"/>
        </w:rPr>
      </w:pPr>
      <w:r>
        <w:rPr>
          <w:rFonts w:hint="default"/>
          <w:lang w:val="en-US" w:eastAsia="zh-CN"/>
        </w:rPr>
        <w:t>待接穗第</w:t>
      </w:r>
      <w:r>
        <w:rPr>
          <w:rFonts w:hint="eastAsia"/>
          <w:lang w:val="en-US" w:eastAsia="zh-CN"/>
        </w:rPr>
        <w:t>2</w:t>
      </w:r>
      <w:r>
        <w:rPr>
          <w:rFonts w:hint="default"/>
          <w:lang w:val="en-US" w:eastAsia="zh-CN"/>
        </w:rPr>
        <w:t>次新梢成熟后即可将抽水枝锯除,锯口要平齐,不留桩头。</w:t>
      </w:r>
    </w:p>
    <w:p w14:paraId="42F75508">
      <w:pPr>
        <w:pStyle w:val="68"/>
        <w:spacing w:before="156" w:after="156"/>
        <w:rPr>
          <w:rFonts w:hint="eastAsia"/>
          <w:lang w:val="en-US" w:eastAsia="zh-CN"/>
        </w:rPr>
      </w:pPr>
      <w:r>
        <w:rPr>
          <w:rFonts w:hint="eastAsia"/>
          <w:lang w:val="en-US" w:eastAsia="zh-CN"/>
        </w:rPr>
        <w:t>枝梢管理</w:t>
      </w:r>
    </w:p>
    <w:p w14:paraId="136CA72C">
      <w:pPr>
        <w:pStyle w:val="59"/>
        <w:keepNext w:val="0"/>
        <w:keepLines w:val="0"/>
        <w:pageBreakBefore w:val="0"/>
        <w:widowControl/>
        <w:kinsoku/>
        <w:wordWrap/>
        <w:overflowPunct/>
        <w:topLinePunct w:val="0"/>
        <w:bidi w:val="0"/>
        <w:adjustRightInd/>
        <w:snapToGrid/>
        <w:ind w:left="0" w:leftChars="0" w:firstLine="420" w:firstLineChars="200"/>
        <w:textAlignment w:val="auto"/>
        <w:rPr>
          <w:rFonts w:hint="default"/>
          <w:lang w:val="en-US" w:eastAsia="zh-CN"/>
        </w:rPr>
      </w:pPr>
      <w:r>
        <w:rPr>
          <w:rFonts w:hint="default"/>
          <w:lang w:val="en-US" w:eastAsia="zh-CN"/>
        </w:rPr>
        <w:t>对接穗所抽生的新梢,根据其长势和位置,选留分布合理、生长势较强的 2 个</w:t>
      </w:r>
      <w:r>
        <w:rPr>
          <w:rFonts w:hint="eastAsia" w:ascii="宋体" w:eastAsia="宋体"/>
        </w:rPr>
        <w:t>～</w:t>
      </w:r>
      <w:r>
        <w:rPr>
          <w:rFonts w:hint="default"/>
          <w:lang w:val="en-US" w:eastAsia="zh-CN"/>
        </w:rPr>
        <w:t>3 个枝条作主枝,进行中度短截处理。其余新梢留作辅养枝培养,仅对其进行拉枝或扭枝处理。</w:t>
      </w:r>
    </w:p>
    <w:p w14:paraId="7EB2141E">
      <w:pPr>
        <w:pStyle w:val="68"/>
        <w:spacing w:before="156" w:after="156"/>
        <w:rPr>
          <w:rFonts w:hint="eastAsia"/>
          <w:lang w:val="en-US" w:eastAsia="zh-CN"/>
        </w:rPr>
      </w:pPr>
      <w:r>
        <w:rPr>
          <w:rFonts w:hint="eastAsia"/>
          <w:lang w:val="en-US" w:eastAsia="zh-CN"/>
        </w:rPr>
        <w:t>肥水管理</w:t>
      </w:r>
    </w:p>
    <w:p w14:paraId="6B72261E">
      <w:pPr>
        <w:pStyle w:val="59"/>
        <w:ind w:firstLine="420"/>
        <w:rPr>
          <w:rFonts w:hint="eastAsia" w:eastAsia="宋体"/>
          <w:lang w:eastAsia="zh-CN"/>
        </w:rPr>
      </w:pPr>
      <w:r>
        <w:rPr>
          <w:rFonts w:hint="eastAsia" w:ascii="宋体" w:hAnsi="Times New Roman" w:eastAsia="宋体" w:cs="Times New Roman"/>
          <w:sz w:val="21"/>
          <w:lang w:val="en-US" w:eastAsia="zh-CN" w:bidi="ar-SA"/>
        </w:rPr>
        <w:t>嫁接以后,当新梢长到 10 cm</w:t>
      </w:r>
      <w:r>
        <w:rPr>
          <w:rFonts w:hint="eastAsia" w:ascii="宋体" w:eastAsia="宋体"/>
        </w:rPr>
        <w:t>～</w:t>
      </w:r>
      <w:r>
        <w:rPr>
          <w:rFonts w:hint="eastAsia" w:ascii="宋体" w:hAnsi="Times New Roman" w:eastAsia="宋体" w:cs="Times New Roman"/>
          <w:sz w:val="21"/>
          <w:lang w:val="en-US" w:eastAsia="zh-CN" w:bidi="ar-SA"/>
        </w:rPr>
        <w:t>15 cm 时,及时追肥浇水。每隔 20d左右天叶面喷 0.3%</w:t>
      </w:r>
      <w:r>
        <w:rPr>
          <w:rFonts w:hint="eastAsia" w:ascii="宋体" w:eastAsia="宋体"/>
        </w:rPr>
        <w:t>～</w:t>
      </w:r>
      <w:r>
        <w:rPr>
          <w:rFonts w:hint="eastAsia" w:ascii="宋体" w:hAnsi="Times New Roman" w:eastAsia="宋体" w:cs="Times New Roman"/>
          <w:sz w:val="21"/>
          <w:lang w:val="en-US" w:eastAsia="zh-CN" w:bidi="ar-SA"/>
        </w:rPr>
        <w:t>0.5%尿素;10月份后叶面喷 0.3%</w:t>
      </w:r>
      <w:r>
        <w:rPr>
          <w:rFonts w:hint="eastAsia" w:ascii="宋体" w:eastAsia="宋体"/>
        </w:rPr>
        <w:t>～</w:t>
      </w:r>
      <w:r>
        <w:rPr>
          <w:rFonts w:hint="eastAsia" w:ascii="宋体" w:hAnsi="Times New Roman" w:eastAsia="宋体" w:cs="Times New Roman"/>
          <w:sz w:val="21"/>
          <w:lang w:val="en-US" w:eastAsia="zh-CN" w:bidi="ar-SA"/>
        </w:rPr>
        <w:t>0.5%磷酸二氢钾。嫁接当年秋季及以后的土壤施肥按LY/T 1702 执行。</w:t>
      </w:r>
      <w:r>
        <w:rPr>
          <w:rFonts w:hint="eastAsia"/>
        </w:rPr>
        <w:t>灌溉水质</w:t>
      </w:r>
      <w:r>
        <w:rPr>
          <w:rFonts w:hint="eastAsia"/>
          <w:lang w:eastAsia="zh-CN"/>
        </w:rPr>
        <w:t>符合</w:t>
      </w:r>
      <w:r>
        <w:rPr>
          <w:rFonts w:hint="eastAsia"/>
        </w:rPr>
        <w:t>GB 5084</w:t>
      </w:r>
      <w:bookmarkStart w:id="51" w:name="_GoBack"/>
      <w:bookmarkEnd w:id="51"/>
      <w:r>
        <w:rPr>
          <w:rFonts w:hint="eastAsia"/>
          <w:lang w:eastAsia="zh-CN"/>
        </w:rPr>
        <w:t>的规定</w:t>
      </w:r>
    </w:p>
    <w:p w14:paraId="7B022579">
      <w:pPr>
        <w:pStyle w:val="68"/>
        <w:spacing w:before="156" w:after="156"/>
        <w:rPr>
          <w:rFonts w:hint="eastAsia"/>
          <w:lang w:val="en-US" w:eastAsia="zh-CN"/>
        </w:rPr>
      </w:pPr>
      <w:r>
        <w:rPr>
          <w:rFonts w:hint="eastAsia"/>
          <w:lang w:val="en-US" w:eastAsia="zh-CN"/>
        </w:rPr>
        <w:t>病虫害防控</w:t>
      </w:r>
    </w:p>
    <w:p w14:paraId="06C79A95">
      <w:pPr>
        <w:pStyle w:val="107"/>
        <w:keepNext w:val="0"/>
        <w:keepLines w:val="0"/>
        <w:pageBreakBefore w:val="0"/>
        <w:widowControl/>
        <w:numPr>
          <w:ilvl w:val="0"/>
          <w:numId w:val="0"/>
        </w:numPr>
        <w:kinsoku/>
        <w:wordWrap/>
        <w:overflowPunct/>
        <w:topLinePunct w:val="0"/>
        <w:bidi w:val="0"/>
        <w:adjustRightInd/>
        <w:snapToGrid/>
        <w:spacing w:before="312" w:after="312"/>
        <w:ind w:firstLine="420" w:firstLineChars="200"/>
        <w:textAlignment w:val="auto"/>
        <w:rPr>
          <w:rFonts w:hint="eastAsia"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嫁接出芽后,需要管理者经常到果园观察,一旦发现虫卵、幼虫应及时喷药防治。农药选择和使用</w:t>
      </w:r>
      <w:r>
        <w:rPr>
          <w:rFonts w:hint="eastAsia" w:ascii="宋体" w:hAnsi="Times New Roman" w:eastAsia="宋体" w:cs="Times New Roman"/>
          <w:sz w:val="21"/>
          <w:lang w:val="en-US" w:eastAsia="zh-CN" w:bidi="ar-SA"/>
        </w:rPr>
        <w:t>应符合NY/T393的规定</w:t>
      </w:r>
    </w:p>
    <w:p w14:paraId="6928F02B">
      <w:pPr>
        <w:pStyle w:val="108"/>
        <w:spacing w:before="120" w:after="120"/>
        <w:rPr>
          <w:rFonts w:hint="eastAsia" w:hAnsi="Times New Roman" w:cs="Times New Roman"/>
          <w:lang w:val="en-US" w:eastAsia="zh-CN"/>
        </w:rPr>
      </w:pPr>
      <w:r>
        <w:rPr>
          <w:rFonts w:hint="eastAsia" w:hAnsi="Times New Roman" w:cs="Times New Roman"/>
          <w:lang w:val="en-US" w:eastAsia="zh-CN"/>
        </w:rPr>
        <w:t>第二年</w:t>
      </w:r>
    </w:p>
    <w:p w14:paraId="4A08C600">
      <w:pPr>
        <w:pStyle w:val="68"/>
        <w:spacing w:before="156" w:after="156"/>
        <w:rPr>
          <w:rFonts w:hint="default"/>
          <w:lang w:val="en-US" w:eastAsia="zh-CN"/>
        </w:rPr>
      </w:pPr>
      <w:r>
        <w:rPr>
          <w:rFonts w:hint="default"/>
          <w:lang w:val="en-US" w:eastAsia="zh-CN"/>
        </w:rPr>
        <w:t>肥水管理</w:t>
      </w:r>
    </w:p>
    <w:p w14:paraId="4DCD8131">
      <w:pPr>
        <w:pStyle w:val="107"/>
        <w:keepNext w:val="0"/>
        <w:keepLines w:val="0"/>
        <w:pageBreakBefore w:val="0"/>
        <w:widowControl/>
        <w:numPr>
          <w:ilvl w:val="0"/>
          <w:numId w:val="0"/>
        </w:numPr>
        <w:kinsoku/>
        <w:wordWrap/>
        <w:overflowPunct/>
        <w:topLinePunct w:val="0"/>
        <w:bidi w:val="0"/>
        <w:adjustRightInd/>
        <w:snapToGrid/>
        <w:spacing w:before="312" w:after="312"/>
        <w:ind w:firstLine="420" w:firstLineChars="200"/>
        <w:textAlignment w:val="auto"/>
        <w:rPr>
          <w:rFonts w:hint="eastAsia" w:ascii="宋体" w:hAnsi="Times New Roman" w:eastAsia="黑体" w:cs="Times New Roman"/>
          <w:sz w:val="21"/>
          <w:lang w:val="en-US" w:eastAsia="zh-CN" w:bidi="ar-SA"/>
        </w:rPr>
      </w:pPr>
      <w:r>
        <w:rPr>
          <w:rFonts w:hint="default" w:ascii="宋体" w:hAnsi="Times New Roman" w:eastAsia="宋体" w:cs="Times New Roman"/>
          <w:sz w:val="21"/>
          <w:lang w:val="en-US" w:eastAsia="zh-CN" w:bidi="ar-SA"/>
        </w:rPr>
        <w:t xml:space="preserve">春季萌芽前结合土壤翻耕施基肥,根据土壤状况每株沟施生物菌肥 </w:t>
      </w:r>
      <w:r>
        <w:rPr>
          <w:rFonts w:hint="eastAsia" w:ascii="宋体" w:hAnsi="Times New Roman" w:eastAsia="宋体" w:cs="Times New Roman"/>
          <w:sz w:val="21"/>
          <w:lang w:val="en-US" w:eastAsia="zh-CN" w:bidi="ar-SA"/>
        </w:rPr>
        <w:t>1.5</w:t>
      </w:r>
      <w:r>
        <w:rPr>
          <w:rFonts w:hint="default" w:ascii="宋体" w:hAnsi="Times New Roman" w:eastAsia="宋体" w:cs="Times New Roman"/>
          <w:sz w:val="21"/>
          <w:lang w:val="en-US" w:eastAsia="zh-CN" w:bidi="ar-SA"/>
        </w:rPr>
        <w:t>kg</w:t>
      </w:r>
      <w:r>
        <w:rPr>
          <w:rFonts w:hint="eastAsia" w:ascii="宋体" w:hAnsi="Times New Roman" w:eastAsia="宋体" w:cs="Times New Roman"/>
          <w:sz w:val="21"/>
          <w:lang w:val="en-US" w:eastAsia="zh-CN" w:bidi="ar-SA"/>
        </w:rPr>
        <w:t>左右</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N\、P、K复合肥2</w:t>
      </w:r>
      <w:r>
        <w:rPr>
          <w:rFonts w:hint="default" w:ascii="宋体" w:hAnsi="Times New Roman" w:eastAsia="宋体" w:cs="Times New Roman"/>
          <w:sz w:val="21"/>
          <w:lang w:val="en-US" w:eastAsia="zh-CN" w:bidi="ar-SA"/>
        </w:rPr>
        <w:t xml:space="preserve"> </w:t>
      </w:r>
      <w:r>
        <w:rPr>
          <w:rFonts w:hint="eastAsia" w:ascii="宋体" w:hAnsi="Times New Roman" w:eastAsia="宋体" w:cs="Times New Roman"/>
          <w:sz w:val="21"/>
          <w:lang w:val="en-US" w:eastAsia="zh-CN" w:bidi="ar-SA"/>
        </w:rPr>
        <w:t>Kg左右。</w:t>
      </w:r>
      <w:r>
        <w:rPr>
          <w:rFonts w:hint="eastAsia" w:ascii="宋体" w:eastAsia="宋体" w:cs="Times New Roman"/>
          <w:sz w:val="21"/>
          <w:lang w:val="en-US" w:eastAsia="zh-CN" w:bidi="ar-SA"/>
        </w:rPr>
        <w:t>肥料选用符合</w:t>
      </w:r>
      <w:r>
        <w:rPr>
          <w:rFonts w:hint="eastAsia" w:ascii="宋体" w:hAnsi="Times New Roman" w:eastAsia="宋体" w:cs="Times New Roman"/>
          <w:sz w:val="21"/>
          <w:lang w:val="en-US" w:eastAsia="zh-CN" w:bidi="ar-SA"/>
        </w:rPr>
        <w:t>NY/T 394的规定</w:t>
      </w:r>
      <w:r>
        <w:rPr>
          <w:rFonts w:hint="eastAsia" w:ascii="宋体" w:eastAsia="宋体" w:cs="Times New Roman"/>
          <w:sz w:val="21"/>
          <w:lang w:val="en-US" w:eastAsia="zh-CN" w:bidi="ar-SA"/>
        </w:rPr>
        <w:t>。</w:t>
      </w:r>
    </w:p>
    <w:p w14:paraId="2C2F3759">
      <w:pPr>
        <w:pStyle w:val="68"/>
        <w:spacing w:before="156" w:after="156"/>
        <w:rPr>
          <w:rFonts w:hint="default"/>
          <w:lang w:val="en-US" w:eastAsia="zh-CN"/>
        </w:rPr>
      </w:pPr>
      <w:r>
        <w:rPr>
          <w:rFonts w:hint="default"/>
          <w:lang w:val="en-US" w:eastAsia="zh-CN"/>
        </w:rPr>
        <w:t>整形修剪</w:t>
      </w:r>
    </w:p>
    <w:p w14:paraId="20FFB19F">
      <w:pPr>
        <w:pStyle w:val="107"/>
        <w:keepNext w:val="0"/>
        <w:keepLines w:val="0"/>
        <w:pageBreakBefore w:val="0"/>
        <w:widowControl/>
        <w:numPr>
          <w:ilvl w:val="1"/>
          <w:numId w:val="0"/>
        </w:numPr>
        <w:kinsoku/>
        <w:wordWrap/>
        <w:overflowPunct/>
        <w:topLinePunct w:val="0"/>
        <w:bidi w:val="0"/>
        <w:adjustRightInd/>
        <w:snapToGrid/>
        <w:spacing w:before="312" w:after="312"/>
        <w:ind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促梢扩树冠,培养树体骨架结构和高光效丰产树形,树冠高控制在 2.5 m</w:t>
      </w:r>
      <w:r>
        <w:rPr>
          <w:rFonts w:hint="eastAsia" w:ascii="宋体" w:eastAsia="宋体"/>
        </w:rPr>
        <w:t>～</w:t>
      </w:r>
      <w:r>
        <w:rPr>
          <w:rFonts w:hint="default" w:ascii="宋体" w:hAnsi="Times New Roman" w:eastAsia="宋体" w:cs="Times New Roman"/>
          <w:sz w:val="21"/>
          <w:lang w:val="en-US" w:eastAsia="zh-CN" w:bidi="ar-SA"/>
        </w:rPr>
        <w:t>3 m。修剪主要为春季和夏季修剪,春季修剪结合清园修复树形,分层开天窗,剪除密闭枝、下垂枝、病虫枝等</w:t>
      </w:r>
      <w:r>
        <w:rPr>
          <w:rFonts w:hint="eastAsia" w:ascii="宋体" w:eastAsia="宋体" w:cs="Times New Roman"/>
          <w:sz w:val="21"/>
          <w:lang w:val="en-US" w:eastAsia="zh-CN" w:bidi="ar-SA"/>
        </w:rPr>
        <w:t>，</w:t>
      </w:r>
      <w:r>
        <w:rPr>
          <w:rFonts w:hint="default" w:ascii="宋体" w:hAnsi="Times New Roman" w:eastAsia="宋体" w:cs="Times New Roman"/>
          <w:sz w:val="21"/>
          <w:lang w:val="en-US" w:eastAsia="zh-CN" w:bidi="ar-SA"/>
        </w:rPr>
        <w:t>夏季及时抹芽控梢,疏去过密弱枝,短剪过长枝,统一放秋梢。</w:t>
      </w:r>
    </w:p>
    <w:p w14:paraId="635918C4">
      <w:pPr>
        <w:pStyle w:val="68"/>
        <w:spacing w:before="156" w:after="156"/>
        <w:rPr>
          <w:rFonts w:hint="default"/>
          <w:lang w:val="en-US" w:eastAsia="zh-CN"/>
        </w:rPr>
      </w:pPr>
      <w:r>
        <w:rPr>
          <w:rFonts w:hint="default"/>
          <w:lang w:val="en-US" w:eastAsia="zh-CN"/>
        </w:rPr>
        <w:t>花果管理</w:t>
      </w:r>
    </w:p>
    <w:p w14:paraId="50835785">
      <w:pPr>
        <w:pStyle w:val="107"/>
        <w:keepNext w:val="0"/>
        <w:keepLines w:val="0"/>
        <w:pageBreakBefore w:val="0"/>
        <w:widowControl/>
        <w:numPr>
          <w:ilvl w:val="0"/>
          <w:numId w:val="0"/>
        </w:numPr>
        <w:kinsoku/>
        <w:wordWrap/>
        <w:overflowPunct/>
        <w:topLinePunct w:val="0"/>
        <w:bidi w:val="0"/>
        <w:adjustRightInd/>
        <w:snapToGrid/>
        <w:spacing w:before="312" w:after="312"/>
        <w:ind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 xml:space="preserve">适量结果,亩产控制在 </w:t>
      </w:r>
      <w:r>
        <w:rPr>
          <w:rFonts w:hint="eastAsia" w:ascii="宋体" w:hAnsi="Times New Roman" w:eastAsia="宋体" w:cs="Times New Roman"/>
          <w:sz w:val="21"/>
          <w:lang w:val="en-US" w:eastAsia="zh-CN" w:bidi="ar-SA"/>
        </w:rPr>
        <w:t>8</w:t>
      </w:r>
      <w:r>
        <w:rPr>
          <w:rFonts w:hint="default" w:ascii="宋体" w:hAnsi="Times New Roman" w:eastAsia="宋体" w:cs="Times New Roman"/>
          <w:sz w:val="21"/>
          <w:lang w:val="en-US" w:eastAsia="zh-CN" w:bidi="ar-SA"/>
        </w:rPr>
        <w:t>00 kg 以内。花果过量的树结合修剪疏花疏果。对树势过旺、开花少的树先保花保果,后疏除小果、次果。</w:t>
      </w:r>
    </w:p>
    <w:p w14:paraId="324D935A">
      <w:pPr>
        <w:pStyle w:val="68"/>
        <w:spacing w:before="156" w:after="156"/>
        <w:rPr>
          <w:rFonts w:hint="default"/>
          <w:lang w:val="en-US" w:eastAsia="zh-CN"/>
        </w:rPr>
      </w:pPr>
      <w:r>
        <w:rPr>
          <w:rFonts w:hint="default"/>
          <w:lang w:val="en-US" w:eastAsia="zh-CN"/>
        </w:rPr>
        <w:t>病虫害防治</w:t>
      </w:r>
    </w:p>
    <w:p w14:paraId="16DBFC5D">
      <w:pPr>
        <w:pStyle w:val="107"/>
        <w:keepNext w:val="0"/>
        <w:keepLines w:val="0"/>
        <w:pageBreakBefore w:val="0"/>
        <w:widowControl/>
        <w:numPr>
          <w:ilvl w:val="0"/>
          <w:numId w:val="0"/>
        </w:numPr>
        <w:kinsoku/>
        <w:wordWrap/>
        <w:overflowPunct/>
        <w:topLinePunct w:val="0"/>
        <w:bidi w:val="0"/>
        <w:adjustRightInd/>
        <w:snapToGrid/>
        <w:spacing w:before="312" w:after="312"/>
        <w:ind w:firstLine="420" w:firstLineChars="200"/>
        <w:textAlignment w:val="auto"/>
        <w:rPr>
          <w:rFonts w:hint="eastAsia"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重点抓好</w:t>
      </w:r>
      <w:r>
        <w:rPr>
          <w:rFonts w:hint="eastAsia" w:ascii="宋体" w:hAnsi="Times New Roman" w:eastAsia="宋体" w:cs="Times New Roman"/>
          <w:sz w:val="21"/>
          <w:lang w:val="en-US" w:eastAsia="zh-CN" w:bidi="ar-SA"/>
        </w:rPr>
        <w:t>石榴干腐病</w:t>
      </w:r>
      <w:r>
        <w:rPr>
          <w:rFonts w:hint="default" w:ascii="宋体" w:hAnsi="Times New Roman" w:eastAsia="宋体" w:cs="Times New Roman"/>
          <w:sz w:val="21"/>
          <w:lang w:val="en-US" w:eastAsia="zh-CN" w:bidi="ar-SA"/>
        </w:rPr>
        <w:t>、炭疽病、</w:t>
      </w:r>
      <w:r>
        <w:rPr>
          <w:rFonts w:hint="eastAsia" w:ascii="宋体" w:hAnsi="Times New Roman" w:eastAsia="宋体" w:cs="Times New Roman"/>
          <w:sz w:val="21"/>
          <w:lang w:val="en-US" w:eastAsia="zh-CN" w:bidi="ar-SA"/>
        </w:rPr>
        <w:t>叶斑病、蚧壳虫</w:t>
      </w:r>
      <w:r>
        <w:rPr>
          <w:rFonts w:hint="default" w:ascii="宋体" w:hAnsi="Times New Roman" w:eastAsia="宋体" w:cs="Times New Roman"/>
          <w:sz w:val="21"/>
          <w:lang w:val="en-US" w:eastAsia="zh-CN" w:bidi="ar-SA"/>
        </w:rPr>
        <w:t>、蚜虫等病虫害的防治,农药选择和使用</w:t>
      </w:r>
      <w:r>
        <w:rPr>
          <w:rFonts w:hint="eastAsia" w:ascii="宋体" w:hAnsi="Times New Roman" w:eastAsia="宋体" w:cs="Times New Roman"/>
          <w:sz w:val="21"/>
          <w:lang w:val="en-US" w:eastAsia="zh-CN" w:bidi="ar-SA"/>
        </w:rPr>
        <w:t>应符合NY/T393的规定执行。</w:t>
      </w:r>
    </w:p>
    <w:p w14:paraId="5EE581FB">
      <w:pPr>
        <w:pStyle w:val="107"/>
        <w:spacing w:before="240" w:after="240"/>
        <w:rPr>
          <w:rFonts w:hint="eastAsia" w:hAnsi="Times New Roman" w:cs="Times New Roman"/>
          <w:lang w:val="en-US" w:eastAsia="zh-CN"/>
        </w:rPr>
      </w:pPr>
      <w:r>
        <w:rPr>
          <w:rFonts w:hint="eastAsia" w:hAnsi="Times New Roman" w:cs="Times New Roman"/>
          <w:lang w:val="en-US" w:eastAsia="zh-CN"/>
        </w:rPr>
        <w:t>记录与溯源</w:t>
      </w:r>
    </w:p>
    <w:p w14:paraId="22CFF541">
      <w:pPr>
        <w:pStyle w:val="107"/>
        <w:numPr>
          <w:numId w:val="0"/>
        </w:numPr>
        <w:spacing w:before="312" w:beforeLines="0" w:after="312" w:afterLines="0"/>
        <w:ind w:leftChars="0" w:firstLine="420" w:firstLineChars="200"/>
        <w:rPr>
          <w:rFonts w:hint="eastAsia" w:ascii="黑体" w:hAnsi="黑体" w:eastAsia="黑体" w:cs="黑体"/>
        </w:rPr>
      </w:pPr>
      <w:r>
        <w:rPr>
          <w:rFonts w:hint="default" w:ascii="宋体" w:hAnsi="Times New Roman" w:eastAsia="宋体" w:cs="Times New Roman"/>
          <w:sz w:val="21"/>
          <w:lang w:val="en-US" w:eastAsia="zh-CN" w:bidi="ar-SA"/>
        </w:rPr>
        <w:t>对</w:t>
      </w:r>
      <w:r>
        <w:rPr>
          <w:rFonts w:hint="eastAsia" w:ascii="宋体" w:hAnsi="Times New Roman" w:eastAsia="宋体" w:cs="Times New Roman"/>
          <w:sz w:val="21"/>
          <w:lang w:val="en-US" w:eastAsia="zh-CN" w:bidi="ar-SA"/>
        </w:rPr>
        <w:t>石榴高接后新品种生长情况、田间税费管理、病虫害防控</w:t>
      </w:r>
      <w:r>
        <w:rPr>
          <w:rFonts w:hint="default" w:ascii="宋体" w:hAnsi="Times New Roman" w:eastAsia="宋体" w:cs="Times New Roman"/>
          <w:sz w:val="21"/>
          <w:lang w:val="en-US" w:eastAsia="zh-CN" w:bidi="ar-SA"/>
        </w:rPr>
        <w:t>等情况作详细记录。建立完善的生产</w:t>
      </w:r>
      <w:r>
        <w:rPr>
          <w:rFonts w:hint="eastAsia" w:ascii="宋体" w:hAnsi="Times New Roman" w:eastAsia="宋体" w:cs="Times New Roman"/>
          <w:sz w:val="21"/>
          <w:lang w:val="en-US" w:eastAsia="zh-CN" w:bidi="ar-SA"/>
        </w:rPr>
        <w:t>管理</w:t>
      </w:r>
      <w:r>
        <w:rPr>
          <w:rFonts w:hint="default" w:ascii="宋体" w:hAnsi="Times New Roman" w:eastAsia="宋体" w:cs="Times New Roman"/>
          <w:sz w:val="21"/>
          <w:lang w:val="en-US" w:eastAsia="zh-CN" w:bidi="ar-SA"/>
        </w:rPr>
        <w:t>等档案记录</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并实现可追溯。所有档案应保留 3 年。</w:t>
      </w:r>
    </w:p>
    <w:bookmarkEnd w:id="26"/>
    <w:p w14:paraId="7096CC47">
      <w:pPr>
        <w:pStyle w:val="59"/>
        <w:ind w:firstLine="0" w:firstLineChars="0"/>
        <w:jc w:val="center"/>
      </w:pPr>
      <w:bookmarkStart w:id="50"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5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5B87E">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87F84">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9AA55">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A899">
    <w:pPr>
      <w:pStyle w:val="55"/>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71F41">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4E3BD">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FA64C">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69C1">
    <w:pPr>
      <w:pStyle w:val="64"/>
    </w:pPr>
    <w:r>
      <w:fldChar w:fldCharType="begin"/>
    </w:r>
    <w:r>
      <w:instrText xml:space="preserve"> STYLEREF  标准文件_文件编号  \* MERGEFORMAT </w:instrText>
    </w:r>
    <w:r>
      <w:fldChar w:fldCharType="separate"/>
    </w:r>
    <w:r>
      <w:t>DB5104/TXXXX—2026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089E">
    <w:pPr>
      <w:pStyle w:val="21"/>
      <w:jc w:val="right"/>
      <w:rPr>
        <w:lang w:val="fr-FR"/>
      </w:rPr>
    </w:pPr>
    <w:r>
      <w:fldChar w:fldCharType="begin"/>
    </w:r>
    <w:r>
      <w:instrText xml:space="preserve"> STYLEREF  标准文件_文件编号  \* MERGEFORMAT </w:instrText>
    </w:r>
    <w:r>
      <w:fldChar w:fldCharType="separate"/>
    </w:r>
    <w:r>
      <w:t>DB5104/TXXXX—2026</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97E0FF"/>
    <w:multiLevelType w:val="multilevel"/>
    <w:tmpl w:val="E997E0FF"/>
    <w:lvl w:ilvl="0" w:tentative="0">
      <w:start w:val="1"/>
      <w:numFmt w:val="decimal"/>
      <w:pStyle w:val="236"/>
      <w:suff w:val="nothing"/>
      <w:lvlText w:val="%1　"/>
      <w:lvlJc w:val="left"/>
      <w:pPr>
        <w:tabs>
          <w:tab w:val="left" w:pos="0"/>
        </w:tabs>
        <w:ind w:left="0" w:firstLine="0"/>
      </w:pPr>
      <w:rPr>
        <w:rFonts w:hint="eastAsia" w:ascii="黑体" w:hAnsi="黑体" w:eastAsia="黑体"/>
        <w:b w:val="0"/>
        <w:i w:val="0"/>
        <w:sz w:val="21"/>
        <w:szCs w:val="21"/>
      </w:rPr>
    </w:lvl>
    <w:lvl w:ilvl="1" w:tentative="0">
      <w:start w:val="1"/>
      <w:numFmt w:val="decimal"/>
      <w:pStyle w:val="235"/>
      <w:suff w:val="nothing"/>
      <w:lvlText w:val="%1.%2　"/>
      <w:lvlJc w:val="left"/>
      <w:pPr>
        <w:tabs>
          <w:tab w:val="left" w:pos="0"/>
        </w:tabs>
        <w:ind w:left="0" w:firstLine="0"/>
      </w:pPr>
      <w:rPr>
        <w:rFonts w:hint="eastAsia" w:ascii="黑体" w:hAnsi="黑体" w:eastAsia="黑体" w:cs="Times New Roman"/>
        <w:b w:val="0"/>
        <w:bCs w:val="0"/>
        <w:i w:val="0"/>
        <w:iCs w:val="0"/>
        <w:caps w:val="0"/>
        <w:small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7"/>
      <w:suff w:val="nothing"/>
      <w:lvlText w:val="%1.%2.%3　"/>
      <w:lvlJc w:val="left"/>
      <w:pPr>
        <w:tabs>
          <w:tab w:val="left" w:pos="0"/>
        </w:tabs>
        <w:ind w:left="0" w:firstLine="0"/>
      </w:pPr>
      <w:rPr>
        <w:rFonts w:hint="eastAsia" w:ascii="黑体" w:hAnsi="黑体" w:eastAsia="黑体"/>
        <w:b w:val="0"/>
        <w:i w:val="0"/>
        <w:sz w:val="21"/>
      </w:rPr>
    </w:lvl>
    <w:lvl w:ilvl="3" w:tentative="0">
      <w:start w:val="1"/>
      <w:numFmt w:val="decimal"/>
      <w:pStyle w:val="238"/>
      <w:suff w:val="nothing"/>
      <w:lvlText w:val="%1.%2.%3.%4　"/>
      <w:lvlJc w:val="left"/>
      <w:pPr>
        <w:tabs>
          <w:tab w:val="left" w:pos="0"/>
        </w:tabs>
        <w:ind w:left="0" w:firstLine="0"/>
      </w:pPr>
      <w:rPr>
        <w:rFonts w:hint="eastAsia" w:ascii="黑体" w:hAnsi="黑体" w:eastAsia="黑体"/>
        <w:b w:val="0"/>
        <w:i w:val="0"/>
        <w:sz w:val="21"/>
      </w:rPr>
    </w:lvl>
    <w:lvl w:ilvl="4" w:tentative="0">
      <w:start w:val="1"/>
      <w:numFmt w:val="decimal"/>
      <w:pStyle w:val="239"/>
      <w:suff w:val="nothing"/>
      <w:lvlText w:val="%1.%2.%3.%4.%5　"/>
      <w:lvlJc w:val="left"/>
      <w:pPr>
        <w:tabs>
          <w:tab w:val="left" w:pos="0"/>
        </w:tabs>
        <w:ind w:left="0" w:firstLine="0"/>
      </w:pPr>
      <w:rPr>
        <w:rFonts w:hint="eastAsia" w:ascii="黑体" w:hAnsi="黑体" w:eastAsia="黑体"/>
        <w:b w:val="0"/>
        <w:i w:val="0"/>
        <w:sz w:val="21"/>
      </w:rPr>
    </w:lvl>
    <w:lvl w:ilvl="5" w:tentative="0">
      <w:start w:val="1"/>
      <w:numFmt w:val="decimal"/>
      <w:pStyle w:val="240"/>
      <w:suff w:val="nothing"/>
      <w:lvlText w:val="%1.%2.%3.%4.%5.%6　"/>
      <w:lvlJc w:val="left"/>
      <w:pPr>
        <w:tabs>
          <w:tab w:val="left" w:pos="0"/>
        </w:tabs>
        <w:ind w:left="0" w:firstLine="0"/>
      </w:pPr>
      <w:rPr>
        <w:rFonts w:hint="eastAsia" w:ascii="黑体" w:hAnsi="黑体" w:eastAsia="黑体"/>
        <w:b w:val="0"/>
        <w:i w:val="0"/>
        <w:sz w:val="21"/>
      </w:rPr>
    </w:lvl>
    <w:lvl w:ilvl="6" w:tentative="0">
      <w:start w:val="1"/>
      <w:numFmt w:val="decimal"/>
      <w:suff w:val="nothing"/>
      <w:lvlText w:val="%1%2.%3.%4.%5.%6.%7　"/>
      <w:lvlJc w:val="left"/>
      <w:pPr>
        <w:tabs>
          <w:tab w:val="left" w:pos="0"/>
        </w:tabs>
        <w:ind w:left="0" w:firstLine="0"/>
      </w:pPr>
      <w:rPr>
        <w:rFonts w:hint="eastAsia" w:ascii="黑体" w:hAnsi="黑体" w:eastAsia="黑体"/>
        <w:b w:val="0"/>
        <w:i w:val="0"/>
        <w:sz w:val="21"/>
      </w:rPr>
    </w:lvl>
    <w:lvl w:ilvl="7" w:tentative="0">
      <w:start w:val="1"/>
      <w:numFmt w:val="decimal"/>
      <w:lvlText w:val="%1.%2.%3.%4.%5.%6.%7.%8"/>
      <w:lvlJc w:val="left"/>
      <w:pPr>
        <w:tabs>
          <w:tab w:val="left" w:pos="0"/>
        </w:tabs>
        <w:ind w:left="3969" w:hanging="1418"/>
      </w:pPr>
      <w:rPr>
        <w:rFonts w:hint="eastAsia"/>
      </w:rPr>
    </w:lvl>
    <w:lvl w:ilvl="8" w:tentative="0">
      <w:start w:val="1"/>
      <w:numFmt w:val="decimal"/>
      <w:lvlText w:val="%1.%2.%3.%4.%5.%6.%7.%8.%9"/>
      <w:lvlJc w:val="left"/>
      <w:pPr>
        <w:tabs>
          <w:tab w:val="left" w:pos="0"/>
        </w:tabs>
        <w:ind w:left="4677" w:hanging="1700"/>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693E"/>
    <w:rsid w:val="0000040A"/>
    <w:rsid w:val="00000A94"/>
    <w:rsid w:val="00001972"/>
    <w:rsid w:val="00001D9A"/>
    <w:rsid w:val="00005BB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7D5"/>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89A"/>
    <w:rsid w:val="00133010"/>
    <w:rsid w:val="001338EE"/>
    <w:rsid w:val="00133AAE"/>
    <w:rsid w:val="00135323"/>
    <w:rsid w:val="001356C4"/>
    <w:rsid w:val="00141114"/>
    <w:rsid w:val="001419D7"/>
    <w:rsid w:val="00142969"/>
    <w:rsid w:val="001446C2"/>
    <w:rsid w:val="00145664"/>
    <w:rsid w:val="001457E7"/>
    <w:rsid w:val="00145D9D"/>
    <w:rsid w:val="00146388"/>
    <w:rsid w:val="001529E5"/>
    <w:rsid w:val="00153C7E"/>
    <w:rsid w:val="0015693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E5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AD4"/>
    <w:rsid w:val="002E4D5A"/>
    <w:rsid w:val="002E6326"/>
    <w:rsid w:val="002F1FC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FD0"/>
    <w:rsid w:val="003C010C"/>
    <w:rsid w:val="003C0A6C"/>
    <w:rsid w:val="003C14F8"/>
    <w:rsid w:val="003C5A43"/>
    <w:rsid w:val="003D0519"/>
    <w:rsid w:val="003D0FF6"/>
    <w:rsid w:val="003D262C"/>
    <w:rsid w:val="003D6D61"/>
    <w:rsid w:val="003D79C6"/>
    <w:rsid w:val="003E091D"/>
    <w:rsid w:val="003E1C53"/>
    <w:rsid w:val="003E227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C08"/>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8F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41F"/>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5C1"/>
    <w:rsid w:val="00630661"/>
    <w:rsid w:val="006317B3"/>
    <w:rsid w:val="00632182"/>
    <w:rsid w:val="006323CD"/>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ACD"/>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082"/>
    <w:rsid w:val="00783ECF"/>
    <w:rsid w:val="0078413A"/>
    <w:rsid w:val="0079356C"/>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D1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765"/>
    <w:rsid w:val="009A42C1"/>
    <w:rsid w:val="009A5429"/>
    <w:rsid w:val="009A72AD"/>
    <w:rsid w:val="009B09E0"/>
    <w:rsid w:val="009B0BC5"/>
    <w:rsid w:val="009B1247"/>
    <w:rsid w:val="009B46F9"/>
    <w:rsid w:val="009B6029"/>
    <w:rsid w:val="009B6971"/>
    <w:rsid w:val="009C27F1"/>
    <w:rsid w:val="009C3152"/>
    <w:rsid w:val="009C4CFA"/>
    <w:rsid w:val="009C5070"/>
    <w:rsid w:val="009C793B"/>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82A"/>
    <w:rsid w:val="00A7581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AB0"/>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60"/>
    <w:rsid w:val="00C24C8D"/>
    <w:rsid w:val="00C25FE2"/>
    <w:rsid w:val="00C26B53"/>
    <w:rsid w:val="00C279B2"/>
    <w:rsid w:val="00C33E50"/>
    <w:rsid w:val="00C34C20"/>
    <w:rsid w:val="00C3557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36C"/>
    <w:rsid w:val="00CC038D"/>
    <w:rsid w:val="00CC08DB"/>
    <w:rsid w:val="00CC39FF"/>
    <w:rsid w:val="00CC3C2F"/>
    <w:rsid w:val="00CC4AC8"/>
    <w:rsid w:val="00CC5233"/>
    <w:rsid w:val="00CC5C0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DB9"/>
    <w:rsid w:val="00CF686F"/>
    <w:rsid w:val="00CF6E60"/>
    <w:rsid w:val="00CF7BCA"/>
    <w:rsid w:val="00D008FD"/>
    <w:rsid w:val="00D02ED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0F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93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5E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0AB"/>
    <w:rsid w:val="00F81141"/>
    <w:rsid w:val="00F833BA"/>
    <w:rsid w:val="00F84FD0"/>
    <w:rsid w:val="00F859A8"/>
    <w:rsid w:val="00F86D87"/>
    <w:rsid w:val="00F9108B"/>
    <w:rsid w:val="00F91349"/>
    <w:rsid w:val="00F93A8A"/>
    <w:rsid w:val="00F95248"/>
    <w:rsid w:val="00F956A9"/>
    <w:rsid w:val="00F963ED"/>
    <w:rsid w:val="00F966CF"/>
    <w:rsid w:val="00F96CAE"/>
    <w:rsid w:val="00F96D37"/>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09D"/>
    <w:rsid w:val="00FE1FBE"/>
    <w:rsid w:val="00FE3901"/>
    <w:rsid w:val="00FE39D3"/>
    <w:rsid w:val="00FE4BCE"/>
    <w:rsid w:val="00FE54AE"/>
    <w:rsid w:val="00FE576A"/>
    <w:rsid w:val="00FE7E79"/>
    <w:rsid w:val="00FF3E7D"/>
    <w:rsid w:val="00FF5B99"/>
    <w:rsid w:val="00FF730C"/>
    <w:rsid w:val="00FF73F4"/>
    <w:rsid w:val="00FF7CE4"/>
    <w:rsid w:val="00FF7E39"/>
    <w:rsid w:val="05B1343C"/>
    <w:rsid w:val="0DC108C7"/>
    <w:rsid w:val="0E7A5F2D"/>
    <w:rsid w:val="251713E4"/>
    <w:rsid w:val="27A21D1D"/>
    <w:rsid w:val="32446E62"/>
    <w:rsid w:val="333B262F"/>
    <w:rsid w:val="33C61EE3"/>
    <w:rsid w:val="4B2B0B52"/>
    <w:rsid w:val="52EF4B5B"/>
    <w:rsid w:val="692073C4"/>
    <w:rsid w:val="7D9054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textAlignment w:val="baseline"/>
    </w:pPr>
    <w:rPr>
      <w:sz w:val="32"/>
      <w:szCs w:val="32"/>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Document Map"/>
    <w:basedOn w:val="1"/>
    <w:link w:val="233"/>
    <w:semiHidden/>
    <w:unhideWhenUsed/>
    <w:qFormat/>
    <w:uiPriority w:val="99"/>
    <w:rPr>
      <w:rFonts w:ascii="宋体"/>
      <w:sz w:val="18"/>
      <w:szCs w:val="18"/>
    </w:rPr>
  </w:style>
  <w:style w:type="paragraph" w:styleId="15">
    <w:name w:val="index 6"/>
    <w:basedOn w:val="1"/>
    <w:next w:val="1"/>
    <w:qFormat/>
    <w:uiPriority w:val="0"/>
    <w:pPr>
      <w:adjustRightInd/>
      <w:spacing w:line="240" w:lineRule="auto"/>
      <w:ind w:left="1260" w:hanging="210"/>
      <w:jc w:val="left"/>
    </w:pPr>
    <w:rPr>
      <w:sz w:val="20"/>
      <w:szCs w:val="20"/>
    </w:rPr>
  </w:style>
  <w:style w:type="paragraph" w:styleId="16">
    <w:name w:val="Body Text"/>
    <w:basedOn w:val="1"/>
    <w:link w:val="89"/>
    <w:qFormat/>
    <w:uiPriority w:val="0"/>
    <w:pPr>
      <w:spacing w:after="120"/>
    </w:pPr>
  </w:style>
  <w:style w:type="paragraph" w:styleId="17">
    <w:name w:val="toc 5"/>
    <w:basedOn w:val="1"/>
    <w:next w:val="1"/>
    <w:autoRedefine/>
    <w:unhideWhenUsed/>
    <w:qFormat/>
    <w:uiPriority w:val="39"/>
    <w:pPr>
      <w:ind w:left="839"/>
    </w:pPr>
    <w:rPr>
      <w:rFonts w:ascii="宋体"/>
    </w:rPr>
  </w:style>
  <w:style w:type="paragraph" w:styleId="18">
    <w:name w:val="toc 3"/>
    <w:basedOn w:val="1"/>
    <w:next w:val="1"/>
    <w:autoRedefine/>
    <w:unhideWhenUsed/>
    <w:qFormat/>
    <w:uiPriority w:val="39"/>
    <w:pPr>
      <w:spacing w:line="300" w:lineRule="exact"/>
      <w:ind w:left="420"/>
    </w:pPr>
    <w:rPr>
      <w:rFonts w:ascii="宋体"/>
    </w:rPr>
  </w:style>
  <w:style w:type="paragraph" w:styleId="19">
    <w:name w:val="Balloon Text"/>
    <w:basedOn w:val="1"/>
    <w:link w:val="48"/>
    <w:semiHidden/>
    <w:unhideWhenUsed/>
    <w:qFormat/>
    <w:uiPriority w:val="99"/>
    <w:rPr>
      <w:sz w:val="18"/>
      <w:szCs w:val="18"/>
    </w:rPr>
  </w:style>
  <w:style w:type="paragraph" w:styleId="20">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6"/>
    <w:qFormat/>
    <w:uiPriority w:val="99"/>
    <w:pPr>
      <w:tabs>
        <w:tab w:val="center" w:pos="4153"/>
        <w:tab w:val="right" w:pos="8306"/>
      </w:tabs>
      <w:adjustRightInd/>
      <w:snapToGrid w:val="0"/>
      <w:jc w:val="center"/>
    </w:pPr>
    <w:rPr>
      <w:sz w:val="18"/>
      <w:szCs w:val="18"/>
    </w:rPr>
  </w:style>
  <w:style w:type="paragraph" w:styleId="22">
    <w:name w:val="toc 1"/>
    <w:basedOn w:val="1"/>
    <w:next w:val="1"/>
    <w:autoRedefine/>
    <w:unhideWhenUsed/>
    <w:qFormat/>
    <w:uiPriority w:val="39"/>
    <w:rPr>
      <w:rFonts w:ascii="宋体"/>
    </w:rPr>
  </w:style>
  <w:style w:type="paragraph" w:styleId="23">
    <w:name w:val="toc 4"/>
    <w:basedOn w:val="1"/>
    <w:next w:val="1"/>
    <w:autoRedefine/>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autoRedefine/>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autoRedefine/>
    <w:unhideWhenUsed/>
    <w:qFormat/>
    <w:uiPriority w:val="39"/>
    <w:pPr>
      <w:tabs>
        <w:tab w:val="right" w:leader="dot" w:pos="9344"/>
      </w:tabs>
      <w:spacing w:line="300" w:lineRule="exact"/>
      <w:ind w:left="210"/>
    </w:pPr>
    <w:rPr>
      <w:rFonts w:ascii="宋体"/>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basedOn w:val="31"/>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3"/>
    <w:qFormat/>
    <w:uiPriority w:val="0"/>
    <w:rPr>
      <w:b/>
      <w:bCs/>
      <w:kern w:val="44"/>
      <w:sz w:val="44"/>
      <w:szCs w:val="44"/>
    </w:rPr>
  </w:style>
  <w:style w:type="character" w:customStyle="1" w:styleId="38">
    <w:name w:val="标题 2 Char"/>
    <w:link w:val="4"/>
    <w:qFormat/>
    <w:uiPriority w:val="0"/>
    <w:rPr>
      <w:rFonts w:ascii="Arial" w:hAnsi="Arial" w:eastAsia="黑体"/>
      <w:b/>
      <w:bCs/>
      <w:kern w:val="2"/>
      <w:sz w:val="32"/>
      <w:szCs w:val="32"/>
    </w:rPr>
  </w:style>
  <w:style w:type="character" w:customStyle="1" w:styleId="39">
    <w:name w:val="标题 3 Char"/>
    <w:link w:val="5"/>
    <w:qFormat/>
    <w:uiPriority w:val="0"/>
    <w:rPr>
      <w:b/>
      <w:bCs/>
      <w:kern w:val="2"/>
      <w:sz w:val="32"/>
      <w:szCs w:val="32"/>
    </w:rPr>
  </w:style>
  <w:style w:type="character" w:customStyle="1" w:styleId="40">
    <w:name w:val="标题 4 Char"/>
    <w:link w:val="6"/>
    <w:qFormat/>
    <w:uiPriority w:val="0"/>
    <w:rPr>
      <w:rFonts w:ascii="Arial" w:hAnsi="Arial" w:eastAsia="黑体"/>
      <w:b/>
      <w:bCs/>
      <w:kern w:val="2"/>
      <w:sz w:val="28"/>
      <w:szCs w:val="28"/>
    </w:rPr>
  </w:style>
  <w:style w:type="character" w:customStyle="1" w:styleId="41">
    <w:name w:val="标题 5 Char"/>
    <w:link w:val="7"/>
    <w:qFormat/>
    <w:uiPriority w:val="0"/>
    <w:rPr>
      <w:b/>
      <w:bCs/>
      <w:kern w:val="2"/>
      <w:sz w:val="28"/>
      <w:szCs w:val="28"/>
    </w:rPr>
  </w:style>
  <w:style w:type="character" w:customStyle="1" w:styleId="42">
    <w:name w:val="标题 6 Char"/>
    <w:link w:val="8"/>
    <w:qFormat/>
    <w:uiPriority w:val="0"/>
    <w:rPr>
      <w:rFonts w:ascii="Arial" w:hAnsi="Arial" w:eastAsia="黑体"/>
      <w:b/>
      <w:bCs/>
      <w:kern w:val="2"/>
      <w:sz w:val="24"/>
      <w:szCs w:val="24"/>
    </w:rPr>
  </w:style>
  <w:style w:type="character" w:customStyle="1" w:styleId="43">
    <w:name w:val="标题 7 Char"/>
    <w:link w:val="9"/>
    <w:qFormat/>
    <w:uiPriority w:val="0"/>
    <w:rPr>
      <w:b/>
      <w:bCs/>
      <w:kern w:val="2"/>
      <w:sz w:val="24"/>
      <w:szCs w:val="24"/>
    </w:rPr>
  </w:style>
  <w:style w:type="character" w:customStyle="1" w:styleId="44">
    <w:name w:val="标题 8 Char"/>
    <w:link w:val="10"/>
    <w:qFormat/>
    <w:uiPriority w:val="0"/>
    <w:rPr>
      <w:rFonts w:ascii="Arial" w:hAnsi="Arial" w:eastAsia="黑体"/>
      <w:kern w:val="2"/>
      <w:sz w:val="24"/>
      <w:szCs w:val="24"/>
    </w:rPr>
  </w:style>
  <w:style w:type="character" w:customStyle="1" w:styleId="45">
    <w:name w:val="标题 9 Char"/>
    <w:link w:val="11"/>
    <w:qFormat/>
    <w:uiPriority w:val="0"/>
    <w:rPr>
      <w:rFonts w:ascii="Arial" w:hAnsi="Arial" w:eastAsia="黑体"/>
      <w:kern w:val="2"/>
      <w:sz w:val="21"/>
      <w:szCs w:val="21"/>
    </w:rPr>
  </w:style>
  <w:style w:type="character" w:customStyle="1" w:styleId="46">
    <w:name w:val="页眉 Char"/>
    <w:link w:val="21"/>
    <w:qFormat/>
    <w:uiPriority w:val="99"/>
    <w:rPr>
      <w:kern w:val="2"/>
      <w:sz w:val="18"/>
      <w:szCs w:val="18"/>
    </w:rPr>
  </w:style>
  <w:style w:type="character" w:customStyle="1" w:styleId="47">
    <w:name w:val="页脚 Char"/>
    <w:link w:val="20"/>
    <w:qFormat/>
    <w:uiPriority w:val="99"/>
    <w:rPr>
      <w:rFonts w:ascii="宋体"/>
      <w:kern w:val="2"/>
      <w:sz w:val="18"/>
      <w:szCs w:val="18"/>
    </w:rPr>
  </w:style>
  <w:style w:type="character" w:customStyle="1" w:styleId="48">
    <w:name w:val="批注框文本 Char"/>
    <w:link w:val="19"/>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8"/>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6"/>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4"/>
    <w:semiHidden/>
    <w:qFormat/>
    <w:uiPriority w:val="0"/>
    <w:rPr>
      <w:rFonts w:ascii="宋体"/>
      <w:kern w:val="2"/>
      <w:sz w:val="18"/>
      <w:szCs w:val="18"/>
    </w:rPr>
  </w:style>
  <w:style w:type="paragraph" w:customStyle="1" w:styleId="103">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文档结构图 Char"/>
    <w:basedOn w:val="31"/>
    <w:link w:val="14"/>
    <w:semiHidden/>
    <w:qFormat/>
    <w:uiPriority w:val="99"/>
    <w:rPr>
      <w:rFonts w:ascii="宋体"/>
      <w:kern w:val="2"/>
      <w:sz w:val="18"/>
      <w:szCs w:val="18"/>
    </w:rPr>
  </w:style>
  <w:style w:type="paragraph" w:customStyle="1" w:styleId="234">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5">
    <w:name w:val="一级条标题"/>
    <w:next w:val="234"/>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章标题"/>
    <w:next w:val="234"/>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7">
    <w:name w:val="二级条标题"/>
    <w:basedOn w:val="235"/>
    <w:next w:val="234"/>
    <w:qFormat/>
    <w:uiPriority w:val="0"/>
    <w:pPr>
      <w:numPr>
        <w:ilvl w:val="2"/>
      </w:numPr>
      <w:spacing w:beforeLines="0" w:afterLines="0"/>
      <w:outlineLvl w:val="3"/>
    </w:pPr>
  </w:style>
  <w:style w:type="paragraph" w:customStyle="1" w:styleId="238">
    <w:name w:val="三级条标题"/>
    <w:basedOn w:val="237"/>
    <w:next w:val="234"/>
    <w:qFormat/>
    <w:uiPriority w:val="0"/>
    <w:pPr>
      <w:numPr>
        <w:ilvl w:val="3"/>
      </w:numPr>
      <w:outlineLvl w:val="4"/>
    </w:pPr>
  </w:style>
  <w:style w:type="paragraph" w:customStyle="1" w:styleId="239">
    <w:name w:val="四级条标题"/>
    <w:basedOn w:val="238"/>
    <w:next w:val="234"/>
    <w:qFormat/>
    <w:uiPriority w:val="0"/>
    <w:pPr>
      <w:numPr>
        <w:ilvl w:val="4"/>
      </w:numPr>
      <w:outlineLvl w:val="5"/>
    </w:pPr>
  </w:style>
  <w:style w:type="paragraph" w:customStyle="1" w:styleId="240">
    <w:name w:val="五级条标题"/>
    <w:basedOn w:val="239"/>
    <w:next w:val="234"/>
    <w:qFormat/>
    <w:uiPriority w:val="0"/>
    <w:pPr>
      <w:numPr>
        <w:ilvl w:val="5"/>
      </w:num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5E65F3B1F140B08A376520658E9AB0"/>
        <w:style w:val=""/>
        <w:category>
          <w:name w:val="常规"/>
          <w:gallery w:val="placeholder"/>
        </w:category>
        <w:types>
          <w:type w:val="bbPlcHdr"/>
        </w:types>
        <w:behaviors>
          <w:behavior w:val="content"/>
        </w:behaviors>
        <w:description w:val=""/>
        <w:guid w:val="{2F0B267B-2F80-4C9C-9957-CB191EB4A298}"/>
      </w:docPartPr>
      <w:docPartBody>
        <w:p w14:paraId="2D9B7E45">
          <w:pPr>
            <w:pStyle w:val="5"/>
          </w:pPr>
          <w:r>
            <w:rPr>
              <w:rStyle w:val="4"/>
              <w:rFonts w:hint="eastAsia"/>
            </w:rPr>
            <w:t>单击或点击此处输入文字。</w:t>
          </w:r>
        </w:p>
      </w:docPartBody>
    </w:docPart>
    <w:docPart>
      <w:docPartPr>
        <w:name w:val="A9CACF3B45394DC8BC946805C9403B0C"/>
        <w:style w:val=""/>
        <w:category>
          <w:name w:val="常规"/>
          <w:gallery w:val="placeholder"/>
        </w:category>
        <w:types>
          <w:type w:val="bbPlcHdr"/>
        </w:types>
        <w:behaviors>
          <w:behavior w:val="content"/>
        </w:behaviors>
        <w:description w:val=""/>
        <w:guid w:val="{5112316C-8400-49A6-AE3D-56BCEEB06BF7}"/>
      </w:docPartPr>
      <w:docPartBody>
        <w:p w14:paraId="0C8B87B8">
          <w:pPr>
            <w:pStyle w:val="6"/>
          </w:pPr>
          <w:r>
            <w:rPr>
              <w:rStyle w:val="4"/>
              <w:rFonts w:hint="eastAsia"/>
            </w:rPr>
            <w:t>选择一项。</w:t>
          </w:r>
        </w:p>
      </w:docPartBody>
    </w:docPart>
    <w:docPart>
      <w:docPartPr>
        <w:name w:val="6633933ADA554FC1A8E55464F0A880FD"/>
        <w:style w:val=""/>
        <w:category>
          <w:name w:val="常规"/>
          <w:gallery w:val="placeholder"/>
        </w:category>
        <w:types>
          <w:type w:val="bbPlcHdr"/>
        </w:types>
        <w:behaviors>
          <w:behavior w:val="content"/>
        </w:behaviors>
        <w:description w:val=""/>
        <w:guid w:val="{998DC3D1-C7FC-4146-A86B-2EDF785A67A3}"/>
      </w:docPartPr>
      <w:docPartBody>
        <w:p w14:paraId="5C3C8D2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6AC6"/>
    <w:rsid w:val="00436AC6"/>
    <w:rsid w:val="00487901"/>
    <w:rsid w:val="00733DCF"/>
    <w:rsid w:val="009B5321"/>
    <w:rsid w:val="009D2B45"/>
    <w:rsid w:val="00E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25E65F3B1F140B08A376520658E9A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CACF3B45394DC8BC946805C9403B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633933ADA554FC1A8E55464F0A880F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635</Words>
  <Characters>760</Characters>
  <Lines>55</Lines>
  <Paragraphs>15</Paragraphs>
  <TotalTime>4</TotalTime>
  <ScaleCrop>false</ScaleCrop>
  <LinksUpToDate>false</LinksUpToDate>
  <CharactersWithSpaces>782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2026-03-16T01:25:00Z</dcterms:created>
  <dc:creator>AutoBVT</dc:creator>
  <dc:description>&lt;config cover="true" show_menu="true" version="1.0.0" doctype="SDKXY"&gt;_x000d_
&lt;/config&gt;</dc:description>
  <cp:lastModifiedBy>Administrator</cp:lastModifiedBy>
  <cp:lastPrinted>2020-08-30T10:00:00Z</cp:lastPrinted>
  <dcterms:modified xsi:type="dcterms:W3CDTF">2026-03-17T02:55:19Z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eyJoZGlkIjoiMDU3YmFhOGY0MTMwNzljNmUyNDRjNjQxMzgwNzNiODIifQ==</vt:lpwstr>
  </property>
  <property fmtid="{D5CDD505-2E9C-101B-9397-08002B2CF9AE}" pid="15" name="KSOProductBuildVer">
    <vt:lpwstr>2052-12.1.0.22529</vt:lpwstr>
  </property>
  <property fmtid="{D5CDD505-2E9C-101B-9397-08002B2CF9AE}" pid="16" name="ICV">
    <vt:lpwstr>45710CFB22D24802BE2CC9798377AD4A_12</vt:lpwstr>
  </property>
</Properties>
</file>